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24"/>
          <w:szCs w:val="24"/>
        </w:rPr>
      </w:pPr>
      <w:r>
        <w:rPr>
          <w:rFonts w:hint="eastAsia" w:ascii="黑体" w:hAnsi="宋体" w:eastAsia="黑体" w:cs="黑体"/>
          <w:sz w:val="24"/>
          <w:szCs w:val="24"/>
        </w:rPr>
        <w:t>附件</w:t>
      </w:r>
      <w:r>
        <w:rPr>
          <w:rFonts w:ascii="黑体" w:hAnsi="宋体" w:eastAsia="黑体" w:cs="黑体"/>
          <w:sz w:val="24"/>
          <w:szCs w:val="24"/>
        </w:rPr>
        <w:t>1</w:t>
      </w:r>
    </w:p>
    <w:p>
      <w:pPr>
        <w:jc w:val="center"/>
        <w:rPr>
          <w:rFonts w:ascii="宋体"/>
          <w:b/>
          <w:bCs/>
        </w:rPr>
      </w:pPr>
      <w:r>
        <w:rPr>
          <w:rFonts w:ascii="宋体" w:hAnsi="宋体" w:cs="宋体"/>
          <w:b/>
          <w:bCs/>
        </w:rPr>
        <w:t>2016</w:t>
      </w:r>
      <w:r>
        <w:rPr>
          <w:rFonts w:hint="eastAsia" w:ascii="宋体" w:hAnsi="宋体" w:cs="宋体"/>
          <w:b/>
          <w:bCs/>
        </w:rPr>
        <w:t>年度政府信息公开工作情况统计表</w:t>
      </w:r>
    </w:p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（东营市人民政府）</w:t>
      </w:r>
    </w:p>
    <w:tbl>
      <w:tblPr>
        <w:tblStyle w:val="6"/>
        <w:tblW w:w="9450" w:type="dxa"/>
        <w:jc w:val="center"/>
        <w:tblInd w:w="0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3"/>
        <w:gridCol w:w="1002"/>
        <w:gridCol w:w="101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685"/>
              <w:jc w:val="center"/>
              <w:rPr>
                <w:rFonts w:cs="Times New Roman"/>
                <w:color w:val="000000"/>
              </w:rPr>
            </w:pPr>
            <w:r>
              <w:rPr>
                <w:rStyle w:val="5"/>
                <w:rFonts w:hint="eastAsia"/>
                <w:color w:val="000000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cs="宋体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Style w:val="5"/>
                <w:rFonts w:hint="eastAsia" w:ascii="宋体" w:hAnsi="宋体" w:cs="宋体"/>
                <w:color w:val="00000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（一）主动公开政府信息数（不同渠道和方式公开相同信息计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条）</w:t>
            </w:r>
            <w:r>
              <w:rPr>
                <w:rFonts w:asci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（不同渠道和方式公开相同信息计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159144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其中：主动公开规范性文件数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制发规范性文件总数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48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（二）通过不同渠道和方式公开政府信息的情况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政府公报公开政府信息数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0"/>
                <w:szCs w:val="20"/>
              </w:rPr>
              <w:t>440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政府网站公开政府信息数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0"/>
                <w:szCs w:val="20"/>
              </w:rPr>
              <w:t>100219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政务微博公开政府信息数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0"/>
                <w:szCs w:val="20"/>
              </w:rPr>
              <w:t>14863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政务微信公开政府信息数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0"/>
                <w:szCs w:val="20"/>
              </w:rPr>
              <w:t>9726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其他方式公开政府信息数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0"/>
                <w:szCs w:val="20"/>
              </w:rPr>
              <w:t>33848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二、回应解读情况（不同方式回应同一热点或舆情计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685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31680" w:firstLineChars="20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（一）回应公众关注热点或重大舆情数</w:t>
            </w:r>
            <w:r>
              <w:rPr>
                <w:rFonts w:cs="Times New Roman"/>
                <w:color w:val="000000"/>
                <w:kern w:val="2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　　　　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（不同方式回应同一热点或舆情计</w:t>
            </w:r>
            <w:r>
              <w:rPr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kern w:val="2"/>
                <w:sz w:val="20"/>
                <w:szCs w:val="20"/>
              </w:rPr>
              <w:t>次）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19489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（二）通过不同渠道和方式回应解读的情况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参加或举办新闻发布会总次数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108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其中：主要负责同志参加新闻发布会次数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54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85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其中：主要负责同志参加政府网站在线访谈次数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66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政策解读稿件发布数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篇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1196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微博微信回应事件数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8248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其他方式回应事件数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9932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pStyle w:val="3"/>
              <w:spacing w:before="0" w:beforeAutospacing="0" w:after="0" w:afterAutospacing="0" w:line="420" w:lineRule="atLeast"/>
              <w:ind w:firstLine="685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（一）收到申请数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174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当面申请数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73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传真申请数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网络申请数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74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信函申请数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5.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其他形式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（二）申请办结数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174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按时办结数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167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延期办结数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（三）申请答复数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174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属于已主动公开范围数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59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71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同意部分公开答复数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不同意公开答复数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其中：涉及国家秘密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涉及商业秘密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涉及个人隐私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危及国家安全、公共安全、经济安全和社会稳定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不是《条例》所指政府信息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法律法规规定的其他情形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不属于本行政机关公开数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6.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申请信息不存在数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7.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告知作出更改补充数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8.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告知通过其他途径办理数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（一）维持具体行政行为或者驳回原告诉讼请求数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（二）被依法纠错数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（一）维持具体行政行为数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（二）被纠错数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（三）其他情形数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七、向图书馆、档案馆等查阅场所报送信息数</w:t>
            </w:r>
          </w:p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34943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（一）纸质文件数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22632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（二）电子文件数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12311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312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（一）市政府及其部门门户网站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（二）县（市、区）政府门户网站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187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（三）乡镇政府（街道办事处）门户网站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41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九、市政府公报发行量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500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（一）公报发行期数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期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25200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68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32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33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25249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（一）市政府及其部门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325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（二）县（市、区）政府及其部门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8262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ind w:firstLine="31680" w:firstLineChars="200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（三）乡镇政府（街道办事处）</w:t>
            </w:r>
          </w:p>
        </w:tc>
        <w:tc>
          <w:tcPr>
            <w:tcW w:w="1002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single" w:color="auto" w:sz="4" w:space="0"/>
              <w:left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ascii="黑体" w:hAnsi="宋体" w:eastAsia="黑体" w:cs="黑体"/>
                <w:color w:val="000000"/>
                <w:sz w:val="20"/>
                <w:szCs w:val="20"/>
              </w:rPr>
              <w:t>16662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十二、依申请公开信息收取的费用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十三、机构建设和保障经费情况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（一）政府信息公开工作专门机构数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84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（二）设置政府信息公开查阅点数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68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（三）从事政府信息公开工作人员数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600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专职人员数（不包括政府公报及政府网站工作人员数）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88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2.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兼职人员数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512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（四）政府信息公开专项经费（不包括用于政府公报编辑管理及政府网站建设维</w:t>
            </w:r>
            <w:r>
              <w:rPr>
                <w:rFonts w:ascii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　　　护等方面的经费）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万元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67.78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十四、政府信息公开会议和培训情况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single" w:color="auto" w:sz="4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（一）召开政府信息公开工作会议或专题会议数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0"/>
                <w:szCs w:val="20"/>
              </w:rPr>
              <w:t>13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（二）举办各类培训班数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0"/>
                <w:szCs w:val="20"/>
              </w:rPr>
              <w:t>17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743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　　（三）接受培训人员数</w:t>
            </w:r>
          </w:p>
        </w:tc>
        <w:tc>
          <w:tcPr>
            <w:tcW w:w="10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人次</w:t>
            </w:r>
          </w:p>
        </w:tc>
        <w:tc>
          <w:tcPr>
            <w:tcW w:w="1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spacing w:line="420" w:lineRule="atLeas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2010</w:t>
            </w:r>
          </w:p>
        </w:tc>
      </w:tr>
    </w:tbl>
    <w:p>
      <w:pPr>
        <w:rPr>
          <w:rFonts w:ascii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（注：各子栏目数总数要等于总栏目数量）</w:t>
      </w:r>
    </w:p>
    <w:p>
      <w:pPr>
        <w:pStyle w:val="3"/>
        <w:wordWrap w:val="0"/>
        <w:overflowPunct w:val="0"/>
        <w:spacing w:before="0" w:beforeAutospacing="0" w:after="0" w:afterAutospacing="0" w:line="360" w:lineRule="auto"/>
        <w:jc w:val="both"/>
        <w:rPr>
          <w:rFonts w:ascii="仿宋_GB2312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t>39</w:t>
    </w:r>
    <w: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56697"/>
    <w:rsid w:val="0F0566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2017-04-08T07:21:00Z</dcterms:created>
  <dc:creator>gy</dc:creator>
  <cp:lastModifiedBy>gy</cp:lastModifiedBy>
  <dcterms:modified xsi:type="dcterms:W3CDTF">2017-04-08T07:22:17Z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