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80" w:lineRule="exact"/>
        <w:ind w:right="-409"/>
      </w:pPr>
    </w:p>
    <w:p>
      <w:pPr>
        <w:spacing w:line="180" w:lineRule="exact"/>
        <w:ind w:right="-409"/>
        <w:rPr>
          <w:rFonts w:hint="eastAsia"/>
        </w:rPr>
      </w:pPr>
    </w:p>
    <w:p>
      <w:pPr>
        <w:spacing w:line="620" w:lineRule="exact"/>
        <w:jc w:val="center"/>
        <w:rPr>
          <w:rFonts w:asciiTheme="majorEastAsia" w:hAnsiTheme="majorEastAsia" w:eastAsiaTheme="majorEastAsia"/>
          <w:b/>
          <w:sz w:val="44"/>
          <w:szCs w:val="44"/>
        </w:rPr>
      </w:pPr>
    </w:p>
    <w:p>
      <w:pPr>
        <w:spacing w:line="620" w:lineRule="exact"/>
        <w:jc w:val="center"/>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2017年山东省地方税务局</w:t>
      </w:r>
    </w:p>
    <w:p>
      <w:pPr>
        <w:spacing w:line="620" w:lineRule="exact"/>
        <w:jc w:val="center"/>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政府信息公开工作年度报告</w:t>
      </w:r>
    </w:p>
    <w:p>
      <w:pPr>
        <w:spacing w:line="620" w:lineRule="exact"/>
        <w:rPr>
          <w:rFonts w:ascii="仿宋_GB2312" w:hAnsi="华文中宋" w:eastAsia="仿宋_GB2312"/>
          <w:sz w:val="32"/>
          <w:szCs w:val="32"/>
        </w:rPr>
      </w:pPr>
    </w:p>
    <w:p>
      <w:pPr>
        <w:spacing w:line="620" w:lineRule="exact"/>
        <w:jc w:val="center"/>
        <w:rPr>
          <w:rFonts w:ascii="黑体" w:hAnsi="黑体" w:eastAsia="黑体" w:cs="黑体"/>
          <w:bCs/>
          <w:sz w:val="32"/>
          <w:szCs w:val="32"/>
        </w:rPr>
      </w:pPr>
      <w:r>
        <w:rPr>
          <w:rFonts w:hint="eastAsia" w:ascii="黑体" w:hAnsi="黑体" w:eastAsia="黑体" w:cs="黑体"/>
          <w:bCs/>
          <w:sz w:val="32"/>
          <w:szCs w:val="32"/>
        </w:rPr>
        <w:t>引    言</w:t>
      </w:r>
    </w:p>
    <w:p>
      <w:pPr>
        <w:spacing w:line="620" w:lineRule="exact"/>
        <w:jc w:val="center"/>
        <w:rPr>
          <w:rFonts w:ascii="仿宋_GB2312" w:hAnsi="华文中宋" w:eastAsia="仿宋_GB2312"/>
          <w:sz w:val="32"/>
          <w:szCs w:val="32"/>
        </w:rPr>
      </w:pPr>
    </w:p>
    <w:p>
      <w:pPr>
        <w:spacing w:line="620" w:lineRule="exact"/>
        <w:ind w:firstLine="972" w:firstLineChars="304"/>
        <w:rPr>
          <w:rFonts w:ascii="仿宋" w:hAnsi="仿宋" w:eastAsia="仿宋" w:cs="仿宋"/>
          <w:sz w:val="32"/>
          <w:szCs w:val="32"/>
        </w:rPr>
      </w:pPr>
      <w:bookmarkStart w:id="0" w:name="_GoBack"/>
      <w:bookmarkEnd w:id="0"/>
      <w:r>
        <w:rPr>
          <w:rFonts w:hint="eastAsia" w:ascii="仿宋" w:hAnsi="仿宋" w:eastAsia="仿宋" w:cs="仿宋"/>
          <w:sz w:val="32"/>
          <w:szCs w:val="32"/>
        </w:rPr>
        <w:t>年度报告根据《中华人民共和国政府信息公开条例》（以下简称《条例》）和《山东省政府信息公开办法》要求，由山东省地方税务局编制。本报告由主动公开政府信息的情况、依申请公开政府信息的情况、政府信息公开的收费及减免情况、因政府信息公开申请行政复议提起行政诉讼的情况、政府信息公开工作存在的主要问题及改进情况、其他需要报告的事项、省政府政务公开工作要点落实情况，共7个部分组成。本报告中所列数据的统计期限自2017年1月1日起至2017年12月31日止。本年度报告的电子版可以在山东省地方税务局网站(www.sdds.gov.cn)下载。如对本年度报告有任何疑问，请与山东省地方税务局政府信息公开领导小组办公室联系（地址：山东省济南市济大路5号；邮编：250002；电话：0531-82613723；电子邮件：sddszwgk@126.com）。</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一、主动公开政府信息的情况</w:t>
      </w:r>
    </w:p>
    <w:p>
      <w:pPr>
        <w:spacing w:line="620" w:lineRule="exact"/>
        <w:ind w:firstLine="640" w:firstLineChars="200"/>
        <w:rPr>
          <w:rFonts w:ascii="仿宋" w:hAnsi="仿宋" w:eastAsia="仿宋" w:cs="仿宋"/>
          <w:sz w:val="32"/>
          <w:szCs w:val="32"/>
        </w:rPr>
      </w:pPr>
      <w:r>
        <w:rPr>
          <w:rFonts w:hint="eastAsia" w:ascii="仿宋" w:hAnsi="仿宋" w:eastAsia="仿宋" w:cs="仿宋"/>
          <w:sz w:val="32"/>
          <w:szCs w:val="32"/>
        </w:rPr>
        <w:t>2017年，在省委、省政府和国家税务总局的正确领导下，省地税局按照政府信息公开工作的相关部署和要求，紧密结合地税工作实际，健全政府信息公开制度，完善政府信息公开渠道，提高政府信息公开质量和效率，政府信息公开工作在服务社会、推动地税工作等方面发挥了重要的作用，取得了明显的成效。</w:t>
      </w:r>
    </w:p>
    <w:p>
      <w:pPr>
        <w:spacing w:line="620" w:lineRule="exact"/>
        <w:ind w:firstLine="640" w:firstLineChars="200"/>
        <w:rPr>
          <w:rFonts w:ascii="仿宋" w:hAnsi="仿宋" w:eastAsia="仿宋" w:cs="仿宋"/>
          <w:sz w:val="32"/>
          <w:szCs w:val="32"/>
        </w:rPr>
      </w:pPr>
      <w:r>
        <w:rPr>
          <w:rFonts w:hint="eastAsia" w:ascii="楷体" w:hAnsi="楷体" w:eastAsia="楷体" w:cs="楷体"/>
          <w:sz w:val="32"/>
          <w:szCs w:val="32"/>
        </w:rPr>
        <w:t>（一）公文公开管理。</w:t>
      </w:r>
      <w:r>
        <w:rPr>
          <w:rFonts w:hint="eastAsia" w:ascii="仿宋" w:hAnsi="仿宋" w:eastAsia="仿宋" w:cs="仿宋"/>
          <w:sz w:val="32"/>
          <w:szCs w:val="32"/>
        </w:rPr>
        <w:t xml:space="preserve">严格落实公文管理办法的有关要求，拟制公文时明确主动公开、依申请公开、不予公开等属性，随公文一并报批，拟不公开的，依法依规说明理由。办公室有专人负责公文管理，加强公文发文审核和公文公开属性的复核，确保公文管理各项程序规范、运转高效。 </w:t>
      </w:r>
    </w:p>
    <w:p>
      <w:pPr>
        <w:spacing w:line="620" w:lineRule="exact"/>
        <w:ind w:firstLine="640" w:firstLineChars="200"/>
        <w:rPr>
          <w:rFonts w:ascii="仿宋" w:hAnsi="仿宋" w:eastAsia="仿宋" w:cs="仿宋"/>
          <w:sz w:val="32"/>
          <w:szCs w:val="32"/>
        </w:rPr>
      </w:pPr>
      <w:r>
        <w:rPr>
          <w:rFonts w:hint="eastAsia" w:ascii="楷体" w:hAnsi="楷体" w:eastAsia="楷体" w:cs="楷体"/>
          <w:sz w:val="32"/>
          <w:szCs w:val="32"/>
        </w:rPr>
        <w:t>（二）主动公开目录管理。</w:t>
      </w:r>
      <w:r>
        <w:rPr>
          <w:rFonts w:hint="eastAsia" w:ascii="仿宋" w:hAnsi="仿宋" w:eastAsia="仿宋" w:cs="仿宋"/>
          <w:sz w:val="32"/>
          <w:szCs w:val="32"/>
        </w:rPr>
        <w:t xml:space="preserve">按照省政府部署要求，全面梳理地税部门“五公开”内容、主体、时限、方式等，确保在2018年底前参照国家税务总局发布的目录体系，全面完成本级主动公开目录体系修订工作，并动态更新，不断提升主动公开的标准化、规范化水平。 </w:t>
      </w:r>
    </w:p>
    <w:p>
      <w:pPr>
        <w:spacing w:line="620" w:lineRule="exact"/>
        <w:ind w:firstLine="640" w:firstLineChars="200"/>
        <w:rPr>
          <w:rFonts w:ascii="仿宋" w:hAnsi="仿宋" w:eastAsia="仿宋" w:cs="仿宋"/>
          <w:sz w:val="32"/>
          <w:szCs w:val="32"/>
        </w:rPr>
      </w:pPr>
      <w:r>
        <w:rPr>
          <w:rFonts w:hint="eastAsia" w:ascii="楷体" w:hAnsi="楷体" w:eastAsia="楷体" w:cs="楷体"/>
          <w:sz w:val="32"/>
          <w:szCs w:val="32"/>
        </w:rPr>
        <w:t>（三）政务公开动态管理。</w:t>
      </w:r>
      <w:r>
        <w:rPr>
          <w:rFonts w:hint="eastAsia" w:ascii="仿宋" w:hAnsi="仿宋" w:eastAsia="仿宋" w:cs="仿宋"/>
          <w:sz w:val="32"/>
          <w:szCs w:val="32"/>
        </w:rPr>
        <w:t>及时将公开内容在省局门户网站和山东省人民政府网站信息公开栏目发布，不断拓展公开范围，细化公开内容。下一步，将重点对不予公开的信息以及依申请公开较为集中的信息进行全面自查，发现应公开未公开的信息及时公开，可转为主动公开的主动公开。同时，对各市局相关情况进行抽查，对发现的应公开未公开等问题及时督促整改。</w:t>
      </w:r>
    </w:p>
    <w:p>
      <w:pPr>
        <w:spacing w:line="620" w:lineRule="exact"/>
        <w:ind w:firstLine="640" w:firstLineChars="200"/>
        <w:rPr>
          <w:rFonts w:ascii="仿宋" w:hAnsi="仿宋" w:eastAsia="仿宋" w:cs="仿宋"/>
          <w:sz w:val="32"/>
          <w:szCs w:val="32"/>
        </w:rPr>
      </w:pPr>
      <w:r>
        <w:rPr>
          <w:rFonts w:hint="eastAsia" w:ascii="仿宋" w:hAnsi="仿宋" w:eastAsia="仿宋" w:cs="仿宋"/>
          <w:sz w:val="32"/>
          <w:szCs w:val="32"/>
        </w:rPr>
        <w:t>2017年度，省地税局累计主动公开政府信息5075条，其中：规范性文件6份，政府网站公开政府信息2784条，政务微博公开政府信息580条，政务微信公开政府信息1705条。</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二、依申请公开政府信息的情况</w:t>
      </w:r>
    </w:p>
    <w:p>
      <w:pPr>
        <w:spacing w:line="620" w:lineRule="exact"/>
        <w:ind w:firstLine="640" w:firstLineChars="200"/>
        <w:rPr>
          <w:rFonts w:ascii="仿宋" w:hAnsi="仿宋" w:eastAsia="仿宋" w:cs="仿宋"/>
          <w:sz w:val="32"/>
          <w:szCs w:val="32"/>
        </w:rPr>
      </w:pPr>
      <w:r>
        <w:rPr>
          <w:rFonts w:hint="eastAsia" w:ascii="仿宋" w:hAnsi="仿宋" w:eastAsia="仿宋" w:cs="仿宋"/>
          <w:sz w:val="32"/>
          <w:szCs w:val="32"/>
        </w:rPr>
        <w:t>2017年度，我局共收到依申请公开政府信息的申请20份，均按照规定办结、回复。其中，属于主动公开的4份，同意公开的3份，不予公开的2份，不属于本行政机关公开的10份，申请信息不存在的1份。</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三、政府信息公开的收费及减免情况</w:t>
      </w:r>
    </w:p>
    <w:p>
      <w:pPr>
        <w:spacing w:line="620" w:lineRule="exact"/>
        <w:ind w:firstLine="640" w:firstLineChars="200"/>
        <w:rPr>
          <w:rFonts w:ascii="仿宋" w:hAnsi="仿宋" w:eastAsia="仿宋" w:cs="仿宋"/>
          <w:sz w:val="32"/>
          <w:szCs w:val="32"/>
        </w:rPr>
      </w:pPr>
      <w:r>
        <w:rPr>
          <w:rFonts w:hint="eastAsia" w:ascii="仿宋" w:hAnsi="仿宋" w:eastAsia="仿宋" w:cs="仿宋"/>
          <w:sz w:val="32"/>
          <w:szCs w:val="32"/>
        </w:rPr>
        <w:t>2017年度我局未发生有关政府信息公开收费及减免情况。</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四、因政府信息公开申请行政复议、提起行政诉讼的情况</w:t>
      </w:r>
    </w:p>
    <w:p>
      <w:pPr>
        <w:spacing w:line="620" w:lineRule="exact"/>
        <w:ind w:firstLine="640" w:firstLineChars="200"/>
        <w:rPr>
          <w:rFonts w:ascii="仿宋" w:hAnsi="仿宋" w:eastAsia="仿宋" w:cs="仿宋"/>
          <w:sz w:val="32"/>
          <w:szCs w:val="32"/>
        </w:rPr>
      </w:pPr>
      <w:r>
        <w:rPr>
          <w:rFonts w:hint="eastAsia" w:ascii="仿宋" w:hAnsi="仿宋" w:eastAsia="仿宋" w:cs="仿宋"/>
          <w:sz w:val="32"/>
          <w:szCs w:val="32"/>
        </w:rPr>
        <w:t>2017年度，我局因政府信息公开申请提起行政复议案件3起，其中维持具体行政行为3起。没有因政府信息公开申请提起的行政诉讼案件。</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五、政府信息公开工作存在的主要问题及改进情况</w:t>
      </w:r>
    </w:p>
    <w:p>
      <w:pPr>
        <w:spacing w:line="620" w:lineRule="exact"/>
        <w:ind w:firstLine="640" w:firstLineChars="200"/>
        <w:rPr>
          <w:rFonts w:ascii="仿宋" w:hAnsi="仿宋" w:eastAsia="仿宋" w:cs="仿宋"/>
          <w:sz w:val="32"/>
          <w:szCs w:val="32"/>
        </w:rPr>
      </w:pPr>
      <w:r>
        <w:rPr>
          <w:rFonts w:hint="eastAsia" w:ascii="仿宋" w:hAnsi="仿宋" w:eastAsia="仿宋" w:cs="仿宋"/>
          <w:sz w:val="32"/>
          <w:szCs w:val="32"/>
        </w:rPr>
        <w:t>2017年，在省政府正确领导下，山东省地税局政府信息公开工作取得了明显成效，但还存在个别单位对政府信息公开工作的重要意义认识不足，政府信息公开的工作人员配备力量不足，相关岗位知识培训力度不够，信息公开的深度和广度有待于进一步提高，以及规范政府信息公开工作机制等方面的问题。2018年，山东省地税局将从以下几个方面进一步加强和推进政府信息公开工作。</w:t>
      </w:r>
    </w:p>
    <w:p>
      <w:pPr>
        <w:spacing w:line="620" w:lineRule="exact"/>
        <w:ind w:firstLine="640" w:firstLineChars="200"/>
        <w:rPr>
          <w:rFonts w:ascii="仿宋" w:hAnsi="仿宋" w:eastAsia="仿宋" w:cs="仿宋"/>
          <w:sz w:val="32"/>
          <w:szCs w:val="32"/>
        </w:rPr>
      </w:pPr>
      <w:r>
        <w:rPr>
          <w:rFonts w:hint="eastAsia" w:ascii="楷体" w:hAnsi="楷体" w:eastAsia="楷体" w:cs="楷体"/>
          <w:sz w:val="32"/>
          <w:szCs w:val="32"/>
        </w:rPr>
        <w:t>（一）进一步提高政府信息公开意识。</w:t>
      </w:r>
      <w:r>
        <w:rPr>
          <w:rFonts w:hint="eastAsia" w:ascii="仿宋" w:hAnsi="仿宋" w:eastAsia="仿宋" w:cs="仿宋"/>
          <w:sz w:val="32"/>
          <w:szCs w:val="32"/>
        </w:rPr>
        <w:t xml:space="preserve">认真学习国办、省政府政府信息公开相关文件内容和要求，严格遵循“公开为原则，不公开为例外”的原则，进一步提高对政务公开工作的重视程度，加大政务公开工作的绩效考核力度，层层传导压力，确保将政府信息公开工作的各项要求不折不扣地落到实处。同时，结合国家税务总局政务公开目录编制工作，省局机关编制《山东地税系统政务公开工作规范》，初步分为法律法规、工作规程模板、信息公开目录、依申请公开案例、政府信息公开年度报告范本等5部分，结合税务工作特点进一步规范工作流程，有效指导基层单位做好税务部门的政务公开工作，预计2018年一季度完成编制工作。 </w:t>
      </w:r>
    </w:p>
    <w:p>
      <w:pPr>
        <w:spacing w:line="620" w:lineRule="exact"/>
        <w:ind w:firstLine="640" w:firstLineChars="200"/>
        <w:rPr>
          <w:rFonts w:ascii="仿宋" w:hAnsi="仿宋" w:eastAsia="仿宋" w:cs="仿宋"/>
          <w:sz w:val="32"/>
          <w:szCs w:val="32"/>
        </w:rPr>
      </w:pPr>
      <w:r>
        <w:rPr>
          <w:rFonts w:hint="eastAsia" w:ascii="楷体" w:hAnsi="楷体" w:eastAsia="楷体" w:cs="楷体"/>
          <w:sz w:val="32"/>
          <w:szCs w:val="32"/>
        </w:rPr>
        <w:t>（二）进一步加强政务公开工作的培训力度。</w:t>
      </w:r>
      <w:r>
        <w:rPr>
          <w:rFonts w:hint="eastAsia" w:ascii="仿宋" w:hAnsi="仿宋" w:eastAsia="仿宋" w:cs="仿宋"/>
          <w:sz w:val="32"/>
          <w:szCs w:val="32"/>
        </w:rPr>
        <w:t>按照上级要求，在建立健全信息公开工作机构和配备专业人员力量的基础上，加大对政府信息公开工作的培训力度，确保熟练掌握岗位知识，熟悉相关工作流程。计划开展政府信息公开专题培训及座谈会2次。</w:t>
      </w:r>
    </w:p>
    <w:p>
      <w:pPr>
        <w:spacing w:line="620" w:lineRule="exact"/>
        <w:ind w:firstLine="640" w:firstLineChars="200"/>
        <w:rPr>
          <w:rFonts w:ascii="仿宋" w:hAnsi="仿宋" w:eastAsia="仿宋" w:cs="仿宋"/>
          <w:sz w:val="32"/>
          <w:szCs w:val="32"/>
        </w:rPr>
      </w:pPr>
      <w:r>
        <w:rPr>
          <w:rFonts w:hint="eastAsia" w:ascii="楷体" w:hAnsi="楷体" w:eastAsia="楷体" w:cs="楷体"/>
          <w:sz w:val="32"/>
          <w:szCs w:val="32"/>
        </w:rPr>
        <w:t>（三）进一步拓展政务公开工作的深入和广度。</w:t>
      </w:r>
      <w:r>
        <w:rPr>
          <w:rFonts w:hint="eastAsia" w:ascii="仿宋" w:hAnsi="仿宋" w:eastAsia="仿宋" w:cs="仿宋"/>
          <w:sz w:val="32"/>
          <w:szCs w:val="32"/>
        </w:rPr>
        <w:t>加大政府信息公开力度，不断拓宽信息公开渠道，丰富信息公开内容，提高政府信息公开的针对性和实效性。进一步加强载体建设，优化互动栏目，增强互动性，继续及时、准确公布政府信息，提高社会公众对地税部门工作的认知度和认可度。</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六、其他需要报告的事项</w:t>
      </w:r>
    </w:p>
    <w:p>
      <w:pPr>
        <w:spacing w:line="620" w:lineRule="exact"/>
        <w:ind w:firstLine="640" w:firstLineChars="200"/>
        <w:rPr>
          <w:rFonts w:ascii="仿宋" w:hAnsi="仿宋" w:eastAsia="仿宋" w:cs="仿宋"/>
          <w:sz w:val="32"/>
          <w:szCs w:val="32"/>
        </w:rPr>
      </w:pPr>
      <w:r>
        <w:rPr>
          <w:rFonts w:hint="eastAsia" w:ascii="仿宋" w:hAnsi="仿宋" w:eastAsia="仿宋" w:cs="仿宋"/>
          <w:sz w:val="32"/>
          <w:szCs w:val="32"/>
        </w:rPr>
        <w:t>无</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七、省政府政务公开工作要点落实情况</w:t>
      </w:r>
    </w:p>
    <w:p>
      <w:pPr>
        <w:pStyle w:val="2"/>
        <w:spacing w:line="620" w:lineRule="exact"/>
        <w:ind w:firstLine="640" w:firstLineChars="200"/>
        <w:rPr>
          <w:rFonts w:ascii="楷体" w:hAnsi="楷体" w:eastAsia="楷体" w:cs="楷体"/>
          <w:bCs/>
          <w:color w:val="000000"/>
          <w:sz w:val="32"/>
          <w:szCs w:val="32"/>
        </w:rPr>
      </w:pPr>
      <w:r>
        <w:rPr>
          <w:rFonts w:hint="eastAsia" w:ascii="楷体" w:hAnsi="楷体" w:eastAsia="楷体" w:cs="楷体"/>
          <w:bCs/>
          <w:color w:val="000000"/>
          <w:sz w:val="32"/>
          <w:szCs w:val="32"/>
        </w:rPr>
        <w:t>（一）加大行政权力公开力度方面</w:t>
      </w:r>
    </w:p>
    <w:p>
      <w:pPr>
        <w:pStyle w:val="2"/>
        <w:spacing w:line="620" w:lineRule="exact"/>
        <w:ind w:firstLine="643" w:firstLineChars="200"/>
        <w:rPr>
          <w:rFonts w:ascii="仿宋" w:hAnsi="仿宋" w:eastAsia="仿宋" w:cs="仿宋"/>
          <w:b/>
          <w:color w:val="000000"/>
          <w:sz w:val="32"/>
          <w:szCs w:val="32"/>
        </w:rPr>
      </w:pPr>
      <w:r>
        <w:rPr>
          <w:rFonts w:hint="eastAsia" w:ascii="仿宋" w:hAnsi="仿宋" w:eastAsia="仿宋" w:cs="仿宋"/>
          <w:b/>
          <w:bCs/>
          <w:color w:val="000000"/>
          <w:sz w:val="32"/>
          <w:szCs w:val="32"/>
        </w:rPr>
        <w:t>1、推进权力责任清单公开。</w:t>
      </w:r>
      <w:r>
        <w:rPr>
          <w:rFonts w:hint="eastAsia" w:ascii="仿宋" w:hAnsi="仿宋" w:eastAsia="仿宋" w:cs="仿宋"/>
          <w:sz w:val="32"/>
          <w:szCs w:val="32"/>
        </w:rPr>
        <w:t>按照省政府和国家税务总局的安排部署，对省地税局各执法单位的行政权力事项和权力运行流程图统一汇总，严格审核，确保清理的行政权力事项合法、有效、规范、准确。公开权力清单，明确权力事项名称、实施依据、实施主体、承办机构、服务监督电话以及权力运行流程图等。公开责任清单，明确工作职责、部门职责边界、事中事后监管制度、公共服务事项以及责任追究机制。组织部分市局业务骨干对权力清单进行了梳理，统一下发征求意见形成规范模板。截至目前，共公开省级行政权力清单24项，市县级行政权力清单44项，由门户网站统一向社会公布。</w:t>
      </w:r>
    </w:p>
    <w:p>
      <w:pPr>
        <w:spacing w:line="620" w:lineRule="exact"/>
        <w:ind w:firstLine="643" w:firstLineChars="200"/>
        <w:rPr>
          <w:rFonts w:ascii="仿宋" w:hAnsi="仿宋" w:eastAsia="仿宋"/>
          <w:sz w:val="32"/>
          <w:szCs w:val="32"/>
        </w:rPr>
      </w:pPr>
      <w:r>
        <w:rPr>
          <w:rFonts w:hint="eastAsia" w:ascii="仿宋" w:hAnsi="仿宋" w:eastAsia="仿宋" w:cs="仿宋"/>
          <w:b/>
          <w:bCs/>
          <w:color w:val="000000"/>
          <w:sz w:val="32"/>
          <w:szCs w:val="32"/>
        </w:rPr>
        <w:t>2、推进行政许可公开。</w:t>
      </w:r>
      <w:r>
        <w:rPr>
          <w:rFonts w:hint="eastAsia" w:ascii="仿宋" w:hAnsi="仿宋" w:eastAsia="仿宋" w:cs="仿宋"/>
          <w:sz w:val="32"/>
          <w:szCs w:val="32"/>
        </w:rPr>
        <w:t>对保留的行政审批事项，按照省政府和国家税务总局的有关要求，编制行政审批事项清单，明确审批的法律依据、标准、条件、权责、时限以及申请要求等，及时向社会公布。公开税务行政许可目录、行政许可事项服务指南，明确设定依据、申请条件、申请材料、基本流程、审批时限、收费依据及标准等内容。除涉及国家秘密、商业秘密或个人隐私外，通过省地税局门户网站及时向社会公示税务行政许可事项，内容包括：行政许可决定书及其文号、设定依据、项目名称、行政相对人统一社会信用代码和审批部门等信息。同时，按照省政府行政许可和行政处罚信息“双公示”的要求，我局在作出行政许可决定之日起7个工作日内予以公示，主动接受社会监督</w:t>
      </w:r>
      <w:r>
        <w:rPr>
          <w:rFonts w:hint="eastAsia" w:ascii="仿宋" w:hAnsi="仿宋" w:eastAsia="仿宋"/>
          <w:sz w:val="32"/>
          <w:szCs w:val="32"/>
        </w:rPr>
        <w:t>。</w:t>
      </w:r>
    </w:p>
    <w:p>
      <w:pPr>
        <w:spacing w:line="620" w:lineRule="exact"/>
        <w:jc w:val="center"/>
        <w:rPr>
          <w:rFonts w:ascii="楷体" w:hAnsi="楷体" w:eastAsia="楷体" w:cs="楷体"/>
          <w:bCs/>
          <w:sz w:val="32"/>
          <w:szCs w:val="32"/>
        </w:rPr>
      </w:pPr>
      <w:r>
        <w:rPr>
          <w:rFonts w:ascii="仿宋" w:hAnsi="仿宋" w:eastAsia="仿宋"/>
        </w:rPr>
        <w:drawing>
          <wp:anchor distT="0" distB="0" distL="0" distR="0" simplePos="0" relativeHeight="251651072" behindDoc="0" locked="0" layoutInCell="1" allowOverlap="1">
            <wp:simplePos x="0" y="0"/>
            <wp:positionH relativeFrom="margin">
              <wp:posOffset>433705</wp:posOffset>
            </wp:positionH>
            <wp:positionV relativeFrom="paragraph">
              <wp:posOffset>182880</wp:posOffset>
            </wp:positionV>
            <wp:extent cx="5066030" cy="2997835"/>
            <wp:effectExtent l="0" t="0" r="1270" b="0"/>
            <wp:wrapTopAndBottom/>
            <wp:docPr id="1026" name="图片 42"/>
            <wp:cNvGraphicFramePr/>
            <a:graphic xmlns:a="http://schemas.openxmlformats.org/drawingml/2006/main">
              <a:graphicData uri="http://schemas.openxmlformats.org/drawingml/2006/picture">
                <pic:pic xmlns:pic="http://schemas.openxmlformats.org/drawingml/2006/picture">
                  <pic:nvPicPr>
                    <pic:cNvPr id="1026" name="图片 42"/>
                    <pic:cNvPicPr/>
                  </pic:nvPicPr>
                  <pic:blipFill>
                    <a:blip r:embed="rId6" cstate="print"/>
                    <a:srcRect/>
                    <a:stretch>
                      <a:fillRect/>
                    </a:stretch>
                  </pic:blipFill>
                  <pic:spPr>
                    <a:xfrm>
                      <a:off x="0" y="0"/>
                      <a:ext cx="5066030" cy="2997835"/>
                    </a:xfrm>
                    <a:prstGeom prst="rect">
                      <a:avLst/>
                    </a:prstGeom>
                    <a:ln>
                      <a:noFill/>
                    </a:ln>
                  </pic:spPr>
                </pic:pic>
              </a:graphicData>
            </a:graphic>
          </wp:anchor>
        </w:drawing>
      </w:r>
      <w:r>
        <w:rPr>
          <w:rFonts w:hint="eastAsia" w:ascii="楷体" w:hAnsi="楷体" w:eastAsia="楷体" w:cs="楷体"/>
          <w:bCs/>
          <w:sz w:val="32"/>
          <w:szCs w:val="32"/>
        </w:rPr>
        <w:t>通过门户网站向社会公示税务行政许可事项</w:t>
      </w:r>
    </w:p>
    <w:p>
      <w:pPr>
        <w:spacing w:line="600" w:lineRule="exact"/>
        <w:ind w:firstLine="643" w:firstLineChars="200"/>
        <w:rPr>
          <w:rFonts w:ascii="仿宋" w:hAnsi="仿宋" w:eastAsia="仿宋" w:cs="仿宋"/>
          <w:color w:val="000000"/>
          <w:sz w:val="32"/>
          <w:szCs w:val="32"/>
        </w:rPr>
      </w:pPr>
      <w:r>
        <w:rPr>
          <w:rFonts w:hint="eastAsia" w:ascii="仿宋" w:hAnsi="仿宋" w:eastAsia="仿宋" w:cs="仿宋"/>
          <w:b/>
          <w:color w:val="000000"/>
          <w:sz w:val="32"/>
          <w:szCs w:val="32"/>
        </w:rPr>
        <w:t>3、推进地税决策信息公开。</w:t>
      </w:r>
      <w:r>
        <w:rPr>
          <w:rFonts w:hint="eastAsia" w:ascii="仿宋" w:hAnsi="仿宋" w:eastAsia="仿宋" w:cs="楷体"/>
          <w:color w:val="000000"/>
          <w:sz w:val="32"/>
          <w:szCs w:val="32"/>
        </w:rPr>
        <w:t>严格落实省政府关于决策信息公开的相关要求，</w:t>
      </w:r>
      <w:r>
        <w:rPr>
          <w:rFonts w:hint="eastAsia" w:ascii="仿宋" w:hAnsi="仿宋" w:eastAsia="仿宋" w:cs="仿宋"/>
          <w:color w:val="000000"/>
          <w:sz w:val="32"/>
          <w:szCs w:val="32"/>
        </w:rPr>
        <w:t xml:space="preserve">对各处室制定的规范性文件一律由省局政策法规处审核把关，并提交局长办公会议集体研究。形成初步意见后，通过召开座谈会、主动上门征求企业和纳税人意见建议等形式，多渠道、全方位广泛听取各方面意见，以适当方式公布意见收集和采纳情况，作为决策参考。 </w:t>
      </w:r>
    </w:p>
    <w:p>
      <w:pPr>
        <w:spacing w:line="600" w:lineRule="exact"/>
        <w:jc w:val="center"/>
        <w:rPr>
          <w:rFonts w:ascii="楷体" w:hAnsi="楷体" w:eastAsia="楷体" w:cs="楷体"/>
          <w:bCs/>
          <w:sz w:val="32"/>
          <w:szCs w:val="32"/>
        </w:rPr>
      </w:pPr>
      <w:r>
        <w:rPr>
          <w:rFonts w:hint="eastAsia" w:ascii="楷体" w:hAnsi="楷体" w:eastAsia="楷体" w:cs="楷体"/>
          <w:bCs/>
          <w:sz w:val="32"/>
          <w:szCs w:val="32"/>
        </w:rPr>
        <w:drawing>
          <wp:anchor distT="0" distB="0" distL="0" distR="0" simplePos="0" relativeHeight="251652096" behindDoc="0" locked="0" layoutInCell="1" allowOverlap="1">
            <wp:simplePos x="0" y="0"/>
            <wp:positionH relativeFrom="margin">
              <wp:posOffset>300355</wp:posOffset>
            </wp:positionH>
            <wp:positionV relativeFrom="paragraph">
              <wp:posOffset>195580</wp:posOffset>
            </wp:positionV>
            <wp:extent cx="5335270" cy="3056255"/>
            <wp:effectExtent l="0" t="0" r="0" b="0"/>
            <wp:wrapTopAndBottom/>
            <wp:docPr id="1027" name="图片 41"/>
            <wp:cNvGraphicFramePr/>
            <a:graphic xmlns:a="http://schemas.openxmlformats.org/drawingml/2006/main">
              <a:graphicData uri="http://schemas.openxmlformats.org/drawingml/2006/picture">
                <pic:pic xmlns:pic="http://schemas.openxmlformats.org/drawingml/2006/picture">
                  <pic:nvPicPr>
                    <pic:cNvPr id="1027" name="图片 41"/>
                    <pic:cNvPicPr/>
                  </pic:nvPicPr>
                  <pic:blipFill>
                    <a:blip r:embed="rId7" cstate="print"/>
                    <a:srcRect/>
                    <a:stretch>
                      <a:fillRect/>
                    </a:stretch>
                  </pic:blipFill>
                  <pic:spPr>
                    <a:xfrm>
                      <a:off x="0" y="0"/>
                      <a:ext cx="5335200" cy="3056400"/>
                    </a:xfrm>
                    <a:prstGeom prst="rect">
                      <a:avLst/>
                    </a:prstGeom>
                    <a:ln>
                      <a:noFill/>
                    </a:ln>
                  </pic:spPr>
                </pic:pic>
              </a:graphicData>
            </a:graphic>
          </wp:anchor>
        </w:drawing>
      </w:r>
      <w:r>
        <w:rPr>
          <w:rFonts w:hint="eastAsia" w:ascii="楷体" w:hAnsi="楷体" w:eastAsia="楷体" w:cs="楷体"/>
          <w:bCs/>
          <w:sz w:val="32"/>
          <w:szCs w:val="32"/>
        </w:rPr>
        <w:t>主动公开政策法规、规范性文件</w:t>
      </w:r>
    </w:p>
    <w:p>
      <w:pPr>
        <w:pStyle w:val="2"/>
        <w:spacing w:line="580" w:lineRule="exact"/>
        <w:ind w:firstLine="640" w:firstLineChars="200"/>
        <w:rPr>
          <w:rFonts w:ascii="楷体" w:hAnsi="楷体" w:eastAsia="楷体" w:cs="楷体"/>
          <w:bCs/>
          <w:color w:val="000000"/>
          <w:sz w:val="32"/>
          <w:szCs w:val="32"/>
        </w:rPr>
      </w:pPr>
      <w:r>
        <w:rPr>
          <w:rFonts w:hint="eastAsia" w:ascii="楷体" w:hAnsi="楷体" w:eastAsia="楷体" w:cs="楷体"/>
          <w:bCs/>
          <w:color w:val="000000"/>
          <w:sz w:val="32"/>
          <w:szCs w:val="32"/>
        </w:rPr>
        <w:t>（二）做好税收政策法规公开方面</w:t>
      </w:r>
    </w:p>
    <w:p>
      <w:pPr>
        <w:ind w:firstLine="643" w:firstLineChars="200"/>
        <w:rPr>
          <w:rFonts w:ascii="仿宋" w:hAnsi="仿宋" w:eastAsia="仿宋"/>
          <w:sz w:val="32"/>
          <w:szCs w:val="32"/>
        </w:rPr>
      </w:pPr>
      <w:r>
        <w:rPr>
          <w:rFonts w:hint="eastAsia" w:ascii="仿宋" w:hAnsi="仿宋" w:eastAsia="仿宋" w:cs="仿宋"/>
          <w:b/>
          <w:color w:val="000000"/>
          <w:sz w:val="32"/>
          <w:szCs w:val="32"/>
        </w:rPr>
        <w:t>1、推进政策法规内容公开。</w:t>
      </w:r>
      <w:r>
        <w:rPr>
          <w:rFonts w:hint="eastAsia" w:ascii="仿宋" w:hAnsi="仿宋" w:eastAsia="仿宋"/>
          <w:sz w:val="32"/>
          <w:szCs w:val="32"/>
        </w:rPr>
        <w:t>对与地税部门履职相关的法律、法规、规章、规范性文件主动进行公开，实现有法可依、有法必依。以推进“放管服”工作为契机，重点对对国家新出台的减税降负政策措施，以及促进创业创新、保障和改善民生、退役士兵安置和权益保障等税收优惠政策进行公开宣传，通过在办税服务厅等办税场所设置电子显示屏，配置税收执法信息查询触摸屏，充分利用自助办税机、公告栏和宣传册等公示载体，不断丰富政策法规公示形式和手段，为纳税人提供高效便捷的服务。</w:t>
      </w:r>
    </w:p>
    <w:p>
      <w:pPr>
        <w:jc w:val="center"/>
        <w:rPr>
          <w:rFonts w:ascii="仿宋" w:hAnsi="仿宋" w:eastAsia="仿宋"/>
          <w:color w:val="3D3D3D"/>
          <w:sz w:val="18"/>
          <w:szCs w:val="18"/>
        </w:rPr>
      </w:pPr>
      <w:r>
        <w:rPr>
          <w:rFonts w:ascii="仿宋" w:hAnsi="仿宋" w:eastAsia="仿宋"/>
          <w:color w:val="3D3D3D"/>
          <w:sz w:val="18"/>
          <w:szCs w:val="18"/>
        </w:rPr>
        <w:fldChar w:fldCharType="begin"/>
      </w:r>
      <w:r>
        <w:rPr>
          <w:rFonts w:ascii="仿宋" w:hAnsi="仿宋" w:eastAsia="仿宋"/>
          <w:color w:val="3D3D3D"/>
          <w:sz w:val="18"/>
          <w:szCs w:val="18"/>
        </w:rPr>
        <w:instrText xml:space="preserve"> INCLUDEPICTURE "http://www.sdds.gov.cn/picture/377/s1706281653310172667.JPG" \* MERGEFORMATINET </w:instrText>
      </w:r>
      <w:r>
        <w:rPr>
          <w:rFonts w:ascii="仿宋" w:hAnsi="仿宋" w:eastAsia="仿宋"/>
          <w:color w:val="3D3D3D"/>
          <w:sz w:val="18"/>
          <w:szCs w:val="18"/>
        </w:rPr>
        <w:fldChar w:fldCharType="separate"/>
      </w:r>
      <w:r>
        <w:rPr>
          <w:rFonts w:ascii="仿宋" w:hAnsi="仿宋" w:eastAsia="仿宋"/>
          <w:color w:val="3D3D3D"/>
          <w:sz w:val="18"/>
          <w:szCs w:val="18"/>
        </w:rPr>
        <w:fldChar w:fldCharType="begin"/>
      </w:r>
      <w:r>
        <w:rPr>
          <w:rFonts w:ascii="仿宋" w:hAnsi="仿宋" w:eastAsia="仿宋"/>
          <w:color w:val="3D3D3D"/>
          <w:sz w:val="18"/>
          <w:szCs w:val="18"/>
        </w:rPr>
        <w:instrText xml:space="preserve"> INCLUDEPICTURE  "http://www.sdds.gov.cn/picture/377/s1706281653310172667.JPG" \* MERGEFORMATINET </w:instrText>
      </w:r>
      <w:r>
        <w:rPr>
          <w:rFonts w:ascii="仿宋" w:hAnsi="仿宋" w:eastAsia="仿宋"/>
          <w:color w:val="3D3D3D"/>
          <w:sz w:val="18"/>
          <w:szCs w:val="18"/>
        </w:rPr>
        <w:fldChar w:fldCharType="separate"/>
      </w:r>
      <w:r>
        <w:rPr>
          <w:rFonts w:ascii="仿宋" w:hAnsi="仿宋" w:eastAsia="仿宋"/>
          <w:color w:val="3D3D3D"/>
          <w:sz w:val="18"/>
          <w:szCs w:val="18"/>
        </w:rPr>
        <w:fldChar w:fldCharType="begin"/>
      </w:r>
      <w:r>
        <w:rPr>
          <w:rFonts w:ascii="仿宋" w:hAnsi="仿宋" w:eastAsia="仿宋"/>
          <w:color w:val="3D3D3D"/>
          <w:sz w:val="18"/>
          <w:szCs w:val="18"/>
        </w:rPr>
        <w:instrText xml:space="preserve"> INCLUDEPICTURE  "http://www.sdds.gov.cn/picture/377/s1706281653310172667.JPG" \* MERGEFORMATINET </w:instrText>
      </w:r>
      <w:r>
        <w:rPr>
          <w:rFonts w:ascii="仿宋" w:hAnsi="仿宋" w:eastAsia="仿宋"/>
          <w:color w:val="3D3D3D"/>
          <w:sz w:val="18"/>
          <w:szCs w:val="18"/>
        </w:rPr>
        <w:fldChar w:fldCharType="separate"/>
      </w:r>
      <w:r>
        <w:rPr>
          <w:rFonts w:ascii="仿宋" w:hAnsi="仿宋" w:eastAsia="仿宋"/>
          <w:color w:val="3D3D3D"/>
          <w:sz w:val="18"/>
          <w:szCs w:val="18"/>
        </w:rPr>
        <w:fldChar w:fldCharType="begin"/>
      </w:r>
      <w:r>
        <w:rPr>
          <w:rFonts w:ascii="仿宋" w:hAnsi="仿宋" w:eastAsia="仿宋"/>
          <w:color w:val="3D3D3D"/>
          <w:sz w:val="18"/>
          <w:szCs w:val="18"/>
        </w:rPr>
        <w:instrText xml:space="preserve"> INCLUDEPICTURE  "http://www.sdds.gov.cn/picture/377/s1706281653310172667.JPG" \* MERGEFORMATINET </w:instrText>
      </w:r>
      <w:r>
        <w:rPr>
          <w:rFonts w:ascii="仿宋" w:hAnsi="仿宋" w:eastAsia="仿宋"/>
          <w:color w:val="3D3D3D"/>
          <w:sz w:val="18"/>
          <w:szCs w:val="18"/>
        </w:rPr>
        <w:fldChar w:fldCharType="separate"/>
      </w:r>
      <w:r>
        <w:rPr>
          <w:rFonts w:ascii="仿宋" w:hAnsi="仿宋" w:eastAsia="仿宋"/>
          <w:color w:val="3D3D3D"/>
          <w:sz w:val="18"/>
          <w:szCs w:val="18"/>
        </w:rPr>
        <w:drawing>
          <wp:inline distT="0" distB="0" distL="0" distR="0">
            <wp:extent cx="4762500" cy="3162300"/>
            <wp:effectExtent l="0" t="0" r="0" b="0"/>
            <wp:docPr id="1029"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_x0000_t75"/>
                    <pic:cNvPicPr>
                      <a:picLocks noChangeAspect="1"/>
                    </pic:cNvPicPr>
                  </pic:nvPicPr>
                  <pic:blipFill>
                    <a:blip r:embed="rId8" cstate="print"/>
                    <a:srcRect/>
                    <a:stretch>
                      <a:fillRect/>
                    </a:stretch>
                  </pic:blipFill>
                  <pic:spPr>
                    <a:xfrm>
                      <a:off x="0" y="0"/>
                      <a:ext cx="4762500" cy="3162300"/>
                    </a:xfrm>
                    <a:prstGeom prst="rect">
                      <a:avLst/>
                    </a:prstGeom>
                    <a:ln>
                      <a:noFill/>
                    </a:ln>
                  </pic:spPr>
                </pic:pic>
              </a:graphicData>
            </a:graphic>
          </wp:inline>
        </w:drawing>
      </w:r>
      <w:r>
        <w:rPr>
          <w:rFonts w:ascii="仿宋" w:hAnsi="仿宋" w:eastAsia="仿宋"/>
          <w:color w:val="3D3D3D"/>
          <w:sz w:val="18"/>
          <w:szCs w:val="18"/>
        </w:rPr>
        <w:fldChar w:fldCharType="end"/>
      </w:r>
      <w:r>
        <w:rPr>
          <w:rFonts w:ascii="仿宋" w:hAnsi="仿宋" w:eastAsia="仿宋"/>
          <w:color w:val="3D3D3D"/>
          <w:sz w:val="18"/>
          <w:szCs w:val="18"/>
        </w:rPr>
        <w:fldChar w:fldCharType="end"/>
      </w:r>
      <w:r>
        <w:rPr>
          <w:rFonts w:ascii="仿宋" w:hAnsi="仿宋" w:eastAsia="仿宋"/>
          <w:color w:val="3D3D3D"/>
          <w:sz w:val="18"/>
          <w:szCs w:val="18"/>
        </w:rPr>
        <w:fldChar w:fldCharType="end"/>
      </w:r>
      <w:r>
        <w:rPr>
          <w:rFonts w:ascii="仿宋" w:hAnsi="仿宋" w:eastAsia="仿宋"/>
          <w:color w:val="3D3D3D"/>
          <w:sz w:val="18"/>
          <w:szCs w:val="18"/>
        </w:rPr>
        <w:fldChar w:fldCharType="end"/>
      </w:r>
    </w:p>
    <w:p>
      <w:pPr>
        <w:spacing w:line="600" w:lineRule="exact"/>
        <w:jc w:val="center"/>
        <w:rPr>
          <w:rFonts w:ascii="楷体" w:hAnsi="楷体" w:eastAsia="楷体" w:cs="楷体"/>
          <w:bCs/>
          <w:sz w:val="32"/>
          <w:szCs w:val="32"/>
        </w:rPr>
      </w:pPr>
      <w:r>
        <w:rPr>
          <w:rFonts w:hint="eastAsia" w:ascii="楷体" w:hAnsi="楷体" w:eastAsia="楷体" w:cs="楷体"/>
          <w:bCs/>
          <w:sz w:val="32"/>
          <w:szCs w:val="32"/>
        </w:rPr>
        <w:t>办税服务厅设置税收执法信息查询触摸屏</w:t>
      </w:r>
    </w:p>
    <w:p>
      <w:pPr>
        <w:ind w:firstLine="643" w:firstLineChars="200"/>
        <w:rPr>
          <w:rFonts w:ascii="仿宋" w:hAnsi="仿宋" w:eastAsia="仿宋"/>
          <w:sz w:val="32"/>
          <w:szCs w:val="32"/>
        </w:rPr>
      </w:pPr>
      <w:r>
        <w:rPr>
          <w:rFonts w:hint="eastAsia" w:ascii="仿宋" w:hAnsi="仿宋" w:eastAsia="仿宋" w:cs="仿宋"/>
          <w:b/>
          <w:color w:val="000000"/>
          <w:sz w:val="32"/>
          <w:szCs w:val="32"/>
        </w:rPr>
        <w:t>2、推进政策落实情况公开。</w:t>
      </w:r>
      <w:r>
        <w:rPr>
          <w:rFonts w:hint="eastAsia" w:ascii="仿宋" w:hAnsi="仿宋" w:eastAsia="仿宋" w:cs="楷体"/>
          <w:sz w:val="32"/>
          <w:szCs w:val="32"/>
        </w:rPr>
        <w:t>进一步加大税收政策跟踪落实力度，定期发放督办单，对各单位落实情况进行通报。今年以来，共制发各类提醒单、督查单</w:t>
      </w:r>
      <w:r>
        <w:rPr>
          <w:rFonts w:ascii="仿宋" w:hAnsi="仿宋" w:eastAsia="仿宋" w:cs="楷体"/>
          <w:sz w:val="32"/>
          <w:szCs w:val="32"/>
        </w:rPr>
        <w:t>80余份次，督查重点工作42大项287小项，督办省局主要领导批示55项。9月份，省局派出8个督查组对税收政策落实情况开展了实地大督查。期间，督查组延伸检查了34个区县局和26个中心税务所，随机暗访了30个办税服务厅，与171位纳税人代表进行了座谈，查阅相关资料9600余份，从征管系统调取分析比对1200余条数据。通过督查，总结推广17项基层典型工作经验，推</w:t>
      </w:r>
      <w:r>
        <w:rPr>
          <w:rFonts w:hint="eastAsia" w:ascii="仿宋" w:hAnsi="仿宋" w:eastAsia="仿宋" w:cs="楷体"/>
          <w:sz w:val="32"/>
          <w:szCs w:val="32"/>
        </w:rPr>
        <w:t>动了工作提质增效。下一步将重点对督查整改情况进行监督，对落实整改不力的将严肃追责。</w:t>
      </w:r>
    </w:p>
    <w:p>
      <w:pPr>
        <w:ind w:firstLine="643" w:firstLineChars="200"/>
        <w:rPr>
          <w:rFonts w:ascii="仿宋" w:hAnsi="仿宋" w:eastAsia="仿宋"/>
          <w:sz w:val="32"/>
          <w:szCs w:val="32"/>
        </w:rPr>
      </w:pPr>
      <w:r>
        <w:rPr>
          <w:rFonts w:hint="eastAsia" w:ascii="仿宋" w:hAnsi="仿宋" w:eastAsia="仿宋" w:cs="仿宋"/>
          <w:b/>
          <w:color w:val="000000"/>
          <w:sz w:val="32"/>
          <w:szCs w:val="32"/>
        </w:rPr>
        <w:t>3、</w:t>
      </w:r>
      <w:r>
        <w:rPr>
          <w:rFonts w:hint="eastAsia" w:ascii="仿宋" w:hAnsi="仿宋" w:eastAsia="仿宋" w:cs="仿宋"/>
          <w:b/>
          <w:sz w:val="32"/>
          <w:szCs w:val="32"/>
        </w:rPr>
        <w:t>推进政策清理情况公开。</w:t>
      </w:r>
      <w:r>
        <w:rPr>
          <w:rFonts w:hint="eastAsia" w:ascii="仿宋" w:hAnsi="仿宋" w:eastAsia="仿宋"/>
          <w:sz w:val="32"/>
          <w:szCs w:val="32"/>
        </w:rPr>
        <w:t>对税收规范性文件开展日常清理和定期清理，根据国家立法变化及税收工作发展需要，参照上级地税机关清理结果对本机关制定的税收规范性文件进行清理。及时公布日常清理结果，并在定期清理结束后统一向社会公布失效、撤销、废止的文件目录或条款，确保税收执法依据合法有效。</w:t>
      </w:r>
    </w:p>
    <w:p>
      <w:pPr>
        <w:ind w:firstLine="640" w:firstLineChars="200"/>
        <w:jc w:val="center"/>
        <w:rPr>
          <w:rFonts w:ascii="仿宋" w:hAnsi="仿宋" w:eastAsia="仿宋"/>
          <w:sz w:val="32"/>
          <w:szCs w:val="32"/>
        </w:rPr>
      </w:pPr>
      <w:r>
        <w:rPr>
          <w:rFonts w:hint="eastAsia" w:ascii="仿宋" w:hAnsi="仿宋" w:eastAsia="仿宋"/>
          <w:sz w:val="32"/>
          <w:szCs w:val="32"/>
        </w:rPr>
        <w:drawing>
          <wp:inline distT="0" distB="0" distL="0" distR="0">
            <wp:extent cx="4963795" cy="4279900"/>
            <wp:effectExtent l="0" t="0" r="8255" b="6350"/>
            <wp:docPr id="1030" name="图片 25"/>
            <wp:cNvGraphicFramePr/>
            <a:graphic xmlns:a="http://schemas.openxmlformats.org/drawingml/2006/main">
              <a:graphicData uri="http://schemas.openxmlformats.org/drawingml/2006/picture">
                <pic:pic xmlns:pic="http://schemas.openxmlformats.org/drawingml/2006/picture">
                  <pic:nvPicPr>
                    <pic:cNvPr id="1030" name="图片 25"/>
                    <pic:cNvPicPr/>
                  </pic:nvPicPr>
                  <pic:blipFill>
                    <a:blip r:embed="rId9" cstate="print"/>
                    <a:srcRect/>
                    <a:stretch>
                      <a:fillRect/>
                    </a:stretch>
                  </pic:blipFill>
                  <pic:spPr>
                    <a:xfrm>
                      <a:off x="0" y="0"/>
                      <a:ext cx="4964400" cy="4280400"/>
                    </a:xfrm>
                    <a:prstGeom prst="rect">
                      <a:avLst/>
                    </a:prstGeom>
                    <a:ln>
                      <a:noFill/>
                    </a:ln>
                  </pic:spPr>
                </pic:pic>
              </a:graphicData>
            </a:graphic>
          </wp:inline>
        </w:drawing>
      </w:r>
    </w:p>
    <w:p>
      <w:pPr>
        <w:spacing w:line="600" w:lineRule="exact"/>
        <w:jc w:val="center"/>
        <w:rPr>
          <w:rFonts w:ascii="楷体" w:hAnsi="楷体" w:eastAsia="楷体" w:cs="楷体"/>
          <w:bCs/>
          <w:sz w:val="32"/>
          <w:szCs w:val="32"/>
        </w:rPr>
      </w:pPr>
      <w:r>
        <w:rPr>
          <w:rFonts w:hint="eastAsia" w:ascii="楷体" w:hAnsi="楷体" w:eastAsia="楷体" w:cs="楷体"/>
          <w:bCs/>
          <w:sz w:val="32"/>
          <w:szCs w:val="32"/>
        </w:rPr>
        <w:t>现行地方税收优惠政策</w:t>
      </w:r>
    </w:p>
    <w:p>
      <w:pPr>
        <w:pStyle w:val="2"/>
        <w:spacing w:line="580" w:lineRule="exact"/>
        <w:ind w:firstLine="640" w:firstLineChars="200"/>
        <w:rPr>
          <w:rFonts w:ascii="楷体" w:hAnsi="楷体" w:eastAsia="楷体" w:cs="楷体"/>
          <w:bCs/>
          <w:color w:val="000000"/>
          <w:sz w:val="32"/>
          <w:szCs w:val="32"/>
        </w:rPr>
      </w:pPr>
      <w:r>
        <w:rPr>
          <w:rFonts w:hint="eastAsia" w:ascii="楷体" w:hAnsi="楷体" w:eastAsia="楷体" w:cs="楷体"/>
          <w:bCs/>
          <w:color w:val="000000"/>
          <w:sz w:val="32"/>
          <w:szCs w:val="32"/>
        </w:rPr>
        <w:t>（三）完善税收征管及税收执法公开内容方面</w:t>
      </w:r>
    </w:p>
    <w:p>
      <w:pPr>
        <w:pStyle w:val="2"/>
        <w:spacing w:line="580" w:lineRule="exact"/>
        <w:ind w:firstLine="643" w:firstLineChars="200"/>
        <w:rPr>
          <w:rFonts w:ascii="仿宋" w:hAnsi="仿宋" w:eastAsia="仿宋"/>
          <w:sz w:val="32"/>
          <w:szCs w:val="32"/>
        </w:rPr>
      </w:pPr>
      <w:r>
        <w:rPr>
          <w:rFonts w:hint="eastAsia" w:ascii="仿宋" w:hAnsi="仿宋" w:eastAsia="仿宋" w:cs="仿宋"/>
          <w:b/>
          <w:sz w:val="32"/>
          <w:szCs w:val="32"/>
        </w:rPr>
        <w:t>1、推进征管改革措施公开。</w:t>
      </w:r>
      <w:r>
        <w:rPr>
          <w:rFonts w:ascii="仿宋" w:hAnsi="仿宋" w:eastAsia="仿宋" w:cs="楷体"/>
          <w:sz w:val="32"/>
          <w:szCs w:val="32"/>
        </w:rPr>
        <w:t>加强《深化国税、地税征管体制改革方案》宣传，强化对理顺征管职责划分、创新纳税服务机制、转变征收管理方式、深度参与国际合作、优化税务组织体系、构建税收共治格局等改革任务的解读，及时回应社会关切，正确引导社会预期，最大限度凝聚共识，为税收改革发展营造良好环境。</w:t>
      </w:r>
      <w:r>
        <w:rPr>
          <w:rFonts w:hint="eastAsia" w:ascii="仿宋" w:hAnsi="仿宋" w:eastAsia="仿宋"/>
          <w:sz w:val="32"/>
          <w:szCs w:val="32"/>
        </w:rPr>
        <w:t>加强事中事后管理，对涉及国地税联合办税、纳税人分类分级管理、自然人税收管理体系等最新政策出台以及开展情况，第一时间在联合办税厅、门户网站发布。让纳税人充分了解最新税收政策，办税流程，最大限度方便纳税人 。</w:t>
      </w:r>
    </w:p>
    <w:p>
      <w:pPr>
        <w:pStyle w:val="2"/>
        <w:spacing w:line="580" w:lineRule="exact"/>
        <w:jc w:val="center"/>
        <w:rPr>
          <w:rFonts w:ascii="楷体" w:hAnsi="楷体" w:eastAsia="楷体" w:cs="楷体"/>
          <w:bCs/>
          <w:sz w:val="32"/>
          <w:szCs w:val="32"/>
        </w:rPr>
      </w:pPr>
      <w:r>
        <w:rPr>
          <w:rFonts w:ascii="仿宋" w:hAnsi="仿宋" w:eastAsia="仿宋"/>
        </w:rPr>
        <w:drawing>
          <wp:anchor distT="0" distB="0" distL="0" distR="0" simplePos="0" relativeHeight="251653120" behindDoc="0" locked="0" layoutInCell="1" allowOverlap="1">
            <wp:simplePos x="0" y="0"/>
            <wp:positionH relativeFrom="margin">
              <wp:posOffset>15240</wp:posOffset>
            </wp:positionH>
            <wp:positionV relativeFrom="paragraph">
              <wp:posOffset>102870</wp:posOffset>
            </wp:positionV>
            <wp:extent cx="5561965" cy="2602865"/>
            <wp:effectExtent l="0" t="0" r="635" b="6985"/>
            <wp:wrapTopAndBottom/>
            <wp:docPr id="1031" name="图片 40"/>
            <wp:cNvGraphicFramePr/>
            <a:graphic xmlns:a="http://schemas.openxmlformats.org/drawingml/2006/main">
              <a:graphicData uri="http://schemas.openxmlformats.org/drawingml/2006/picture">
                <pic:pic xmlns:pic="http://schemas.openxmlformats.org/drawingml/2006/picture">
                  <pic:nvPicPr>
                    <pic:cNvPr id="1031" name="图片 40"/>
                    <pic:cNvPicPr/>
                  </pic:nvPicPr>
                  <pic:blipFill>
                    <a:blip r:embed="rId10" cstate="print"/>
                    <a:srcRect/>
                    <a:stretch>
                      <a:fillRect/>
                    </a:stretch>
                  </pic:blipFill>
                  <pic:spPr>
                    <a:xfrm>
                      <a:off x="0" y="0"/>
                      <a:ext cx="5562000" cy="2602800"/>
                    </a:xfrm>
                    <a:prstGeom prst="rect">
                      <a:avLst/>
                    </a:prstGeom>
                    <a:ln>
                      <a:noFill/>
                    </a:ln>
                  </pic:spPr>
                </pic:pic>
              </a:graphicData>
            </a:graphic>
          </wp:anchor>
        </w:drawing>
      </w:r>
      <w:r>
        <w:rPr>
          <w:rFonts w:hint="eastAsia" w:ascii="楷体" w:hAnsi="楷体" w:eastAsia="楷体" w:cs="楷体"/>
          <w:bCs/>
          <w:sz w:val="32"/>
          <w:szCs w:val="32"/>
        </w:rPr>
        <w:t>门户网站公示纳税信用A级纳税人名单</w:t>
      </w:r>
    </w:p>
    <w:p>
      <w:pPr>
        <w:ind w:firstLine="630" w:firstLineChars="196"/>
        <w:rPr>
          <w:rFonts w:ascii="仿宋" w:hAnsi="仿宋" w:eastAsia="仿宋" w:cs="仿宋"/>
          <w:sz w:val="32"/>
          <w:szCs w:val="32"/>
        </w:rPr>
      </w:pPr>
      <w:r>
        <w:rPr>
          <w:rFonts w:hint="eastAsia" w:ascii="仿宋" w:hAnsi="仿宋" w:eastAsia="仿宋" w:cs="仿宋"/>
          <w:b/>
          <w:sz w:val="32"/>
          <w:szCs w:val="32"/>
        </w:rPr>
        <w:t>2、推进税收数据信息公开。</w:t>
      </w:r>
      <w:r>
        <w:rPr>
          <w:rFonts w:hint="eastAsia" w:ascii="仿宋" w:hAnsi="仿宋" w:eastAsia="仿宋"/>
          <w:sz w:val="32"/>
          <w:szCs w:val="32"/>
        </w:rPr>
        <w:t>积极参与全省信息资源共享数据统一开放平台建设，制定税收数据开放目录，优先推动民生保障、公共服务和市场监管等领域的税收数据向社会有序开放。建立发票查验平台，实现发票一站式查验服务。定期公示双定户定额，便于社会各界了解、监督。建立纳税人信用记录，将纳税人的信用记录纳入统一的信用信息共享交换平台，依法向社会公开，充分发挥纳税信用在社会信用体系中的基础性作用。</w:t>
      </w:r>
      <w:r>
        <w:rPr>
          <w:rFonts w:hint="eastAsia" w:ascii="仿宋" w:hAnsi="仿宋" w:eastAsia="仿宋" w:cs="仿宋"/>
          <w:sz w:val="32"/>
          <w:szCs w:val="32"/>
        </w:rPr>
        <w:t>加大税收征管事项公开力度，在门户网站按季发布欠税公告。截至目前，共发布欠税公告三期。</w:t>
      </w:r>
    </w:p>
    <w:p>
      <w:pPr>
        <w:jc w:val="center"/>
        <w:rPr>
          <w:rFonts w:ascii="仿宋" w:hAnsi="仿宋" w:eastAsia="仿宋" w:cs="楷体"/>
          <w:b/>
          <w:sz w:val="32"/>
          <w:szCs w:val="32"/>
        </w:rPr>
      </w:pPr>
      <w:r>
        <w:rPr>
          <w:rFonts w:hint="eastAsia" w:ascii="仿宋" w:hAnsi="仿宋" w:eastAsia="仿宋" w:cs="楷体"/>
          <w:b/>
          <w:sz w:val="32"/>
          <w:szCs w:val="32"/>
        </w:rPr>
        <w:drawing>
          <wp:inline distT="0" distB="0" distL="0" distR="0">
            <wp:extent cx="4667250" cy="3467100"/>
            <wp:effectExtent l="0" t="0" r="0" b="0"/>
            <wp:docPr id="1032" name="图片 24"/>
            <wp:cNvGraphicFramePr/>
            <a:graphic xmlns:a="http://schemas.openxmlformats.org/drawingml/2006/main">
              <a:graphicData uri="http://schemas.openxmlformats.org/drawingml/2006/picture">
                <pic:pic xmlns:pic="http://schemas.openxmlformats.org/drawingml/2006/picture">
                  <pic:nvPicPr>
                    <pic:cNvPr id="1032" name="图片 24"/>
                    <pic:cNvPicPr/>
                  </pic:nvPicPr>
                  <pic:blipFill>
                    <a:blip r:embed="rId11" cstate="print"/>
                    <a:srcRect/>
                    <a:stretch>
                      <a:fillRect/>
                    </a:stretch>
                  </pic:blipFill>
                  <pic:spPr>
                    <a:xfrm>
                      <a:off x="0" y="0"/>
                      <a:ext cx="4667250" cy="3467100"/>
                    </a:xfrm>
                    <a:prstGeom prst="rect">
                      <a:avLst/>
                    </a:prstGeom>
                    <a:ln>
                      <a:noFill/>
                    </a:ln>
                  </pic:spPr>
                </pic:pic>
              </a:graphicData>
            </a:graphic>
          </wp:inline>
        </w:drawing>
      </w:r>
    </w:p>
    <w:p>
      <w:pPr>
        <w:spacing w:line="600" w:lineRule="exact"/>
        <w:jc w:val="center"/>
        <w:rPr>
          <w:rFonts w:ascii="楷体" w:hAnsi="楷体" w:eastAsia="楷体" w:cs="楷体"/>
          <w:bCs/>
          <w:sz w:val="32"/>
          <w:szCs w:val="32"/>
        </w:rPr>
      </w:pPr>
      <w:r>
        <w:rPr>
          <w:rFonts w:hint="eastAsia" w:ascii="楷体" w:hAnsi="楷体" w:eastAsia="楷体" w:cs="楷体"/>
          <w:bCs/>
          <w:sz w:val="32"/>
          <w:szCs w:val="32"/>
        </w:rPr>
        <w:t>定期发布欠税公告</w:t>
      </w:r>
    </w:p>
    <w:p>
      <w:pPr>
        <w:ind w:firstLine="643" w:firstLineChars="200"/>
        <w:rPr>
          <w:rFonts w:ascii="仿宋_GB2312" w:hAnsi="华文中宋" w:eastAsia="仿宋_GB2312"/>
          <w:sz w:val="32"/>
          <w:szCs w:val="32"/>
        </w:rPr>
      </w:pPr>
      <w:r>
        <w:rPr>
          <w:rFonts w:hint="eastAsia" w:ascii="仿宋" w:hAnsi="仿宋" w:eastAsia="仿宋" w:cs="仿宋"/>
          <w:b/>
          <w:sz w:val="32"/>
          <w:szCs w:val="32"/>
        </w:rPr>
        <w:t>3、推进税收执法信息公开。</w:t>
      </w:r>
      <w:r>
        <w:rPr>
          <w:rFonts w:ascii="仿宋" w:hAnsi="仿宋" w:eastAsia="仿宋"/>
          <w:sz w:val="32"/>
          <w:szCs w:val="32"/>
        </w:rPr>
        <w:t>公开税务行政处罚裁量基准，规范行政裁量，促进税收执法公平公正。公布税务稽查随机抽查的依据、主体、内容、方式等事项清单，自觉接受社会监督。公布重大税收违法行为及实施联合惩戒情况。</w:t>
      </w:r>
      <w:r>
        <w:rPr>
          <w:rFonts w:hint="eastAsia" w:ascii="仿宋" w:hAnsi="仿宋" w:eastAsia="仿宋"/>
          <w:sz w:val="32"/>
          <w:szCs w:val="32"/>
        </w:rPr>
        <w:t>结合“三项制度”试点工作，大力推进税收执法信息公示公开，在现有工作基础上，梳理税收执法基础信息，建立健全税收执法事前、事中、事后公示公开制度，完善信息共享机制，充分利用地税部门各类宣传载体和平台，依法及时主动向社会公开有关税收执法信息，税务人员在执法过程中主动表明身份，接受社会监督，让税收执法权在阳光下运行，着力打造“阳光地税”。</w:t>
      </w:r>
    </w:p>
    <w:p>
      <w:pPr>
        <w:pStyle w:val="2"/>
        <w:spacing w:line="580" w:lineRule="exact"/>
        <w:ind w:firstLine="640" w:firstLineChars="200"/>
        <w:rPr>
          <w:rFonts w:ascii="楷体" w:hAnsi="楷体" w:eastAsia="楷体" w:cs="楷体"/>
          <w:bCs/>
          <w:color w:val="000000"/>
          <w:sz w:val="32"/>
          <w:szCs w:val="32"/>
        </w:rPr>
      </w:pPr>
      <w:r>
        <w:rPr>
          <w:rFonts w:hint="eastAsia" w:ascii="楷体" w:hAnsi="楷体" w:eastAsia="楷体" w:cs="楷体"/>
          <w:bCs/>
          <w:color w:val="000000"/>
          <w:sz w:val="32"/>
          <w:szCs w:val="32"/>
        </w:rPr>
        <w:t>（四）推进地税机关自身建设公开方面</w:t>
      </w:r>
    </w:p>
    <w:p>
      <w:pPr>
        <w:pStyle w:val="2"/>
        <w:spacing w:line="580" w:lineRule="exact"/>
        <w:ind w:firstLine="643" w:firstLineChars="200"/>
        <w:rPr>
          <w:rFonts w:ascii="仿宋" w:hAnsi="仿宋" w:eastAsia="仿宋" w:cs="仿宋"/>
          <w:sz w:val="32"/>
          <w:szCs w:val="32"/>
        </w:rPr>
      </w:pPr>
      <w:r>
        <w:rPr>
          <w:rFonts w:hint="eastAsia" w:ascii="仿宋" w:hAnsi="仿宋" w:eastAsia="仿宋" w:cs="仿宋"/>
          <w:b/>
          <w:sz w:val="32"/>
          <w:szCs w:val="32"/>
        </w:rPr>
        <w:t>1、推进机构职能信息公开。</w:t>
      </w:r>
      <w:r>
        <w:rPr>
          <w:rFonts w:hint="eastAsia" w:ascii="仿宋" w:hAnsi="仿宋" w:eastAsia="仿宋" w:cs="楷体"/>
          <w:color w:val="000000"/>
          <w:sz w:val="32"/>
          <w:szCs w:val="32"/>
        </w:rPr>
        <w:t>在省局门户网站</w:t>
      </w:r>
      <w:r>
        <w:rPr>
          <w:rFonts w:hint="eastAsia" w:ascii="仿宋" w:hAnsi="仿宋" w:eastAsia="仿宋" w:cs="仿宋"/>
          <w:color w:val="000000"/>
          <w:sz w:val="32"/>
          <w:szCs w:val="32"/>
        </w:rPr>
        <w:t>主动公开机构设置、主要职能、本级概况等信息。公开对外联系电话，及时公开纳税咨询投诉、税收违法举报、地税干部违纪举报、政府信息公开等电话信息。</w:t>
      </w:r>
      <w:r>
        <w:rPr>
          <w:rFonts w:hint="eastAsia" w:ascii="仿宋" w:hAnsi="仿宋" w:eastAsia="仿宋" w:cs="仿宋"/>
          <w:sz w:val="32"/>
          <w:szCs w:val="32"/>
        </w:rPr>
        <w:t>在省地税局网站建立了纳税人投诉信箱，及时受理纳税人投诉。</w:t>
      </w:r>
    </w:p>
    <w:p>
      <w:pPr>
        <w:pStyle w:val="2"/>
        <w:spacing w:line="580" w:lineRule="exact"/>
        <w:ind w:firstLine="640" w:firstLineChars="200"/>
        <w:jc w:val="center"/>
        <w:rPr>
          <w:rFonts w:ascii="仿宋" w:hAnsi="仿宋" w:eastAsia="仿宋" w:cs="仿宋"/>
          <w:color w:val="000000"/>
          <w:sz w:val="32"/>
          <w:szCs w:val="32"/>
        </w:rPr>
      </w:pPr>
    </w:p>
    <w:p>
      <w:pPr>
        <w:spacing w:line="600" w:lineRule="exact"/>
        <w:jc w:val="center"/>
        <w:rPr>
          <w:rFonts w:ascii="楷体" w:hAnsi="楷体" w:eastAsia="楷体" w:cs="楷体"/>
          <w:bCs/>
          <w:sz w:val="32"/>
          <w:szCs w:val="32"/>
        </w:rPr>
      </w:pPr>
      <w:r>
        <w:rPr>
          <w:rFonts w:hint="eastAsia" w:ascii="楷体" w:hAnsi="楷体" w:eastAsia="楷体" w:cs="楷体"/>
          <w:bCs/>
          <w:sz w:val="32"/>
          <w:szCs w:val="32"/>
        </w:rPr>
        <w:drawing>
          <wp:anchor distT="0" distB="0" distL="0" distR="0" simplePos="0" relativeHeight="251654144" behindDoc="0" locked="0" layoutInCell="1" allowOverlap="1">
            <wp:simplePos x="0" y="0"/>
            <wp:positionH relativeFrom="column">
              <wp:align>center</wp:align>
            </wp:positionH>
            <wp:positionV relativeFrom="paragraph">
              <wp:posOffset>0</wp:posOffset>
            </wp:positionV>
            <wp:extent cx="3834130" cy="3830320"/>
            <wp:effectExtent l="0" t="0" r="0" b="0"/>
            <wp:wrapTopAndBottom/>
            <wp:docPr id="1034" name="图片 39"/>
            <wp:cNvGraphicFramePr/>
            <a:graphic xmlns:a="http://schemas.openxmlformats.org/drawingml/2006/main">
              <a:graphicData uri="http://schemas.openxmlformats.org/drawingml/2006/picture">
                <pic:pic xmlns:pic="http://schemas.openxmlformats.org/drawingml/2006/picture">
                  <pic:nvPicPr>
                    <pic:cNvPr id="1034" name="图片 39"/>
                    <pic:cNvPicPr/>
                  </pic:nvPicPr>
                  <pic:blipFill>
                    <a:blip r:embed="rId12" cstate="print"/>
                    <a:srcRect/>
                    <a:stretch>
                      <a:fillRect/>
                    </a:stretch>
                  </pic:blipFill>
                  <pic:spPr>
                    <a:xfrm>
                      <a:off x="0" y="0"/>
                      <a:ext cx="3834000" cy="3830400"/>
                    </a:xfrm>
                    <a:prstGeom prst="rect">
                      <a:avLst/>
                    </a:prstGeom>
                    <a:ln>
                      <a:noFill/>
                    </a:ln>
                  </pic:spPr>
                </pic:pic>
              </a:graphicData>
            </a:graphic>
          </wp:anchor>
        </w:drawing>
      </w:r>
      <w:r>
        <w:rPr>
          <w:rFonts w:hint="eastAsia" w:ascii="楷体" w:hAnsi="楷体" w:eastAsia="楷体" w:cs="楷体"/>
          <w:bCs/>
          <w:sz w:val="32"/>
          <w:szCs w:val="32"/>
        </w:rPr>
        <w:t>门户网站公开局领导信息</w:t>
      </w:r>
    </w:p>
    <w:p>
      <w:pPr>
        <w:spacing w:line="600" w:lineRule="exact"/>
        <w:jc w:val="center"/>
        <w:rPr>
          <w:rFonts w:ascii="楷体" w:hAnsi="楷体" w:eastAsia="楷体" w:cs="楷体"/>
          <w:bCs/>
          <w:sz w:val="32"/>
          <w:szCs w:val="32"/>
        </w:rPr>
      </w:pPr>
      <w:r>
        <w:rPr>
          <w:rFonts w:hint="eastAsia" w:ascii="楷体" w:hAnsi="楷体" w:eastAsia="楷体" w:cs="楷体"/>
          <w:bCs/>
          <w:sz w:val="32"/>
          <w:szCs w:val="32"/>
        </w:rPr>
        <w:drawing>
          <wp:anchor distT="0" distB="0" distL="0" distR="0" simplePos="0" relativeHeight="251655168" behindDoc="0" locked="0" layoutInCell="1" allowOverlap="0">
            <wp:simplePos x="0" y="0"/>
            <wp:positionH relativeFrom="column">
              <wp:align>center</wp:align>
            </wp:positionH>
            <wp:positionV relativeFrom="paragraph">
              <wp:posOffset>81280</wp:posOffset>
            </wp:positionV>
            <wp:extent cx="4211955" cy="4017645"/>
            <wp:effectExtent l="0" t="0" r="0" b="1905"/>
            <wp:wrapTopAndBottom/>
            <wp:docPr id="1035" name="图片 38"/>
            <wp:cNvGraphicFramePr/>
            <a:graphic xmlns:a="http://schemas.openxmlformats.org/drawingml/2006/main">
              <a:graphicData uri="http://schemas.openxmlformats.org/drawingml/2006/picture">
                <pic:pic xmlns:pic="http://schemas.openxmlformats.org/drawingml/2006/picture">
                  <pic:nvPicPr>
                    <pic:cNvPr id="1035" name="图片 38"/>
                    <pic:cNvPicPr/>
                  </pic:nvPicPr>
                  <pic:blipFill>
                    <a:blip r:embed="rId13" cstate="print"/>
                    <a:srcRect/>
                    <a:stretch>
                      <a:fillRect/>
                    </a:stretch>
                  </pic:blipFill>
                  <pic:spPr>
                    <a:xfrm>
                      <a:off x="0" y="0"/>
                      <a:ext cx="4212000" cy="4017599"/>
                    </a:xfrm>
                    <a:prstGeom prst="rect">
                      <a:avLst/>
                    </a:prstGeom>
                    <a:ln>
                      <a:noFill/>
                    </a:ln>
                  </pic:spPr>
                </pic:pic>
              </a:graphicData>
            </a:graphic>
          </wp:anchor>
        </w:drawing>
      </w:r>
      <w:r>
        <w:rPr>
          <w:rFonts w:hint="eastAsia" w:ascii="楷体" w:hAnsi="楷体" w:eastAsia="楷体" w:cs="楷体"/>
          <w:bCs/>
          <w:sz w:val="32"/>
          <w:szCs w:val="32"/>
        </w:rPr>
        <w:t>门户网站公开机构设置情况</w:t>
      </w:r>
    </w:p>
    <w:p>
      <w:pPr>
        <w:pStyle w:val="2"/>
        <w:spacing w:line="580" w:lineRule="exact"/>
        <w:ind w:firstLine="643" w:firstLineChars="200"/>
        <w:rPr>
          <w:rFonts w:ascii="仿宋" w:hAnsi="仿宋" w:eastAsia="仿宋" w:cs="仿宋"/>
          <w:color w:val="000000"/>
          <w:sz w:val="32"/>
          <w:szCs w:val="32"/>
        </w:rPr>
      </w:pPr>
      <w:r>
        <w:rPr>
          <w:rFonts w:hint="eastAsia" w:ascii="仿宋" w:hAnsi="仿宋" w:eastAsia="仿宋" w:cs="仿宋"/>
          <w:b/>
          <w:sz w:val="32"/>
          <w:szCs w:val="32"/>
        </w:rPr>
        <w:t>2、推进财政资金信息公开。</w:t>
      </w:r>
      <w:r>
        <w:rPr>
          <w:rFonts w:hint="eastAsia" w:ascii="仿宋" w:hAnsi="仿宋" w:eastAsia="仿宋" w:cs="仿宋"/>
          <w:color w:val="000000"/>
          <w:sz w:val="32"/>
          <w:szCs w:val="32"/>
        </w:rPr>
        <w:t xml:space="preserve"> 按年度</w:t>
      </w:r>
      <w:r>
        <w:rPr>
          <w:rFonts w:ascii="仿宋" w:hAnsi="仿宋" w:eastAsia="仿宋" w:cs="仿宋"/>
          <w:color w:val="000000"/>
          <w:sz w:val="32"/>
          <w:szCs w:val="32"/>
        </w:rPr>
        <w:t>公开经批准的预算、决算及相关文字说明</w:t>
      </w:r>
    </w:p>
    <w:p>
      <w:pPr>
        <w:spacing w:line="600" w:lineRule="exact"/>
        <w:jc w:val="center"/>
        <w:rPr>
          <w:rFonts w:ascii="楷体" w:hAnsi="楷体" w:eastAsia="楷体" w:cs="楷体"/>
          <w:bCs/>
          <w:sz w:val="32"/>
          <w:szCs w:val="32"/>
        </w:rPr>
      </w:pPr>
      <w:r>
        <w:rPr>
          <w:rFonts w:hint="eastAsia" w:ascii="楷体" w:hAnsi="楷体" w:eastAsia="楷体" w:cs="楷体"/>
          <w:bCs/>
          <w:sz w:val="32"/>
          <w:szCs w:val="32"/>
        </w:rPr>
        <w:drawing>
          <wp:anchor distT="0" distB="0" distL="0" distR="0" simplePos="0" relativeHeight="251656192" behindDoc="0" locked="0" layoutInCell="1" allowOverlap="1">
            <wp:simplePos x="0" y="0"/>
            <wp:positionH relativeFrom="column">
              <wp:posOffset>254635</wp:posOffset>
            </wp:positionH>
            <wp:positionV relativeFrom="paragraph">
              <wp:posOffset>97155</wp:posOffset>
            </wp:positionV>
            <wp:extent cx="5255895" cy="3015615"/>
            <wp:effectExtent l="0" t="0" r="1905" b="0"/>
            <wp:wrapTopAndBottom/>
            <wp:docPr id="1036" name="图片 37"/>
            <wp:cNvGraphicFramePr/>
            <a:graphic xmlns:a="http://schemas.openxmlformats.org/drawingml/2006/main">
              <a:graphicData uri="http://schemas.openxmlformats.org/drawingml/2006/picture">
                <pic:pic xmlns:pic="http://schemas.openxmlformats.org/drawingml/2006/picture">
                  <pic:nvPicPr>
                    <pic:cNvPr id="1036" name="图片 37"/>
                    <pic:cNvPicPr/>
                  </pic:nvPicPr>
                  <pic:blipFill>
                    <a:blip r:embed="rId14" cstate="print"/>
                    <a:srcRect/>
                    <a:stretch>
                      <a:fillRect/>
                    </a:stretch>
                  </pic:blipFill>
                  <pic:spPr>
                    <a:xfrm>
                      <a:off x="0" y="0"/>
                      <a:ext cx="5255895" cy="3015615"/>
                    </a:xfrm>
                    <a:prstGeom prst="rect">
                      <a:avLst/>
                    </a:prstGeom>
                    <a:ln>
                      <a:noFill/>
                    </a:ln>
                  </pic:spPr>
                </pic:pic>
              </a:graphicData>
            </a:graphic>
          </wp:anchor>
        </w:drawing>
      </w:r>
      <w:r>
        <w:rPr>
          <w:rFonts w:hint="eastAsia" w:ascii="楷体" w:hAnsi="楷体" w:eastAsia="楷体" w:cs="楷体"/>
          <w:bCs/>
          <w:sz w:val="32"/>
          <w:szCs w:val="32"/>
        </w:rPr>
        <w:t>公开财政预决算情况</w:t>
      </w:r>
    </w:p>
    <w:p>
      <w:pPr>
        <w:pStyle w:val="2"/>
        <w:spacing w:line="580" w:lineRule="exact"/>
        <w:ind w:firstLine="643" w:firstLineChars="200"/>
        <w:rPr>
          <w:rFonts w:ascii="仿宋" w:hAnsi="仿宋" w:eastAsia="仿宋" w:cs="仿宋"/>
          <w:color w:val="000000"/>
          <w:sz w:val="32"/>
          <w:szCs w:val="32"/>
        </w:rPr>
      </w:pPr>
      <w:r>
        <w:rPr>
          <w:rFonts w:hint="eastAsia" w:ascii="仿宋" w:hAnsi="仿宋" w:eastAsia="仿宋" w:cs="仿宋"/>
          <w:b/>
          <w:sz w:val="32"/>
          <w:szCs w:val="32"/>
        </w:rPr>
        <w:drawing>
          <wp:anchor distT="0" distB="0" distL="0" distR="0" simplePos="0" relativeHeight="251657216" behindDoc="0" locked="0" layoutInCell="1" allowOverlap="1">
            <wp:simplePos x="0" y="0"/>
            <wp:positionH relativeFrom="column">
              <wp:posOffset>466090</wp:posOffset>
            </wp:positionH>
            <wp:positionV relativeFrom="paragraph">
              <wp:posOffset>1191895</wp:posOffset>
            </wp:positionV>
            <wp:extent cx="4734560" cy="2049780"/>
            <wp:effectExtent l="0" t="0" r="8890" b="7620"/>
            <wp:wrapTopAndBottom/>
            <wp:docPr id="1037" name="图片 36"/>
            <wp:cNvGraphicFramePr/>
            <a:graphic xmlns:a="http://schemas.openxmlformats.org/drawingml/2006/main">
              <a:graphicData uri="http://schemas.openxmlformats.org/drawingml/2006/picture">
                <pic:pic xmlns:pic="http://schemas.openxmlformats.org/drawingml/2006/picture">
                  <pic:nvPicPr>
                    <pic:cNvPr id="1037" name="图片 36"/>
                    <pic:cNvPicPr/>
                  </pic:nvPicPr>
                  <pic:blipFill>
                    <a:blip r:embed="rId15" cstate="print"/>
                    <a:srcRect b="11595"/>
                    <a:stretch>
                      <a:fillRect/>
                    </a:stretch>
                  </pic:blipFill>
                  <pic:spPr>
                    <a:xfrm>
                      <a:off x="0" y="0"/>
                      <a:ext cx="4734560" cy="2049780"/>
                    </a:xfrm>
                    <a:prstGeom prst="rect">
                      <a:avLst/>
                    </a:prstGeom>
                    <a:ln>
                      <a:noFill/>
                    </a:ln>
                  </pic:spPr>
                </pic:pic>
              </a:graphicData>
            </a:graphic>
          </wp:anchor>
        </w:drawing>
      </w:r>
      <w:r>
        <w:rPr>
          <w:rFonts w:hint="eastAsia" w:ascii="仿宋" w:hAnsi="仿宋" w:eastAsia="仿宋" w:cs="仿宋"/>
          <w:b/>
          <w:sz w:val="32"/>
          <w:szCs w:val="32"/>
        </w:rPr>
        <w:t>3、推进其他政务信息公开。</w:t>
      </w:r>
      <w:r>
        <w:rPr>
          <w:rFonts w:hint="eastAsia" w:ascii="仿宋" w:hAnsi="仿宋" w:eastAsia="仿宋" w:cs="楷体"/>
          <w:color w:val="000000"/>
          <w:sz w:val="32"/>
          <w:szCs w:val="32"/>
        </w:rPr>
        <w:t>省局、各市局于</w:t>
      </w:r>
      <w:r>
        <w:rPr>
          <w:rFonts w:hint="eastAsia" w:ascii="仿宋" w:hAnsi="仿宋" w:eastAsia="仿宋" w:cs="仿宋"/>
          <w:color w:val="000000"/>
          <w:sz w:val="32"/>
          <w:szCs w:val="32"/>
        </w:rPr>
        <w:t>3月31日前在网站发布政府信息公开年度报告，并按照要求定期发布税收收入统计信息和政府采购相关信息，方便社会公众查阅。</w:t>
      </w:r>
    </w:p>
    <w:p>
      <w:pPr>
        <w:spacing w:line="600" w:lineRule="exact"/>
        <w:jc w:val="center"/>
        <w:rPr>
          <w:rFonts w:ascii="楷体" w:hAnsi="楷体" w:eastAsia="楷体" w:cs="楷体"/>
          <w:bCs/>
          <w:sz w:val="32"/>
          <w:szCs w:val="32"/>
        </w:rPr>
      </w:pPr>
      <w:r>
        <w:rPr>
          <w:rFonts w:hint="eastAsia" w:ascii="楷体" w:hAnsi="楷体" w:eastAsia="楷体" w:cs="楷体"/>
          <w:bCs/>
          <w:sz w:val="32"/>
          <w:szCs w:val="32"/>
        </w:rPr>
        <w:t>年度报告公开情况</w:t>
      </w:r>
    </w:p>
    <w:p>
      <w:pPr>
        <w:widowControl/>
        <w:spacing w:line="600" w:lineRule="exact"/>
        <w:ind w:firstLine="640" w:firstLineChars="200"/>
        <w:jc w:val="left"/>
        <w:rPr>
          <w:rFonts w:ascii="楷体" w:hAnsi="楷体" w:eastAsia="楷体" w:cs="楷体"/>
          <w:bCs/>
          <w:kern w:val="0"/>
          <w:sz w:val="32"/>
          <w:szCs w:val="32"/>
        </w:rPr>
      </w:pPr>
      <w:r>
        <w:rPr>
          <w:rFonts w:hint="eastAsia" w:ascii="楷体" w:hAnsi="楷体" w:eastAsia="楷体" w:cs="楷体"/>
          <w:bCs/>
          <w:kern w:val="0"/>
          <w:sz w:val="32"/>
          <w:szCs w:val="32"/>
        </w:rPr>
        <w:t>（五）规范税收政策解读方面</w:t>
      </w:r>
    </w:p>
    <w:p>
      <w:pPr>
        <w:widowControl/>
        <w:spacing w:line="600" w:lineRule="exact"/>
        <w:ind w:firstLine="640" w:firstLineChars="200"/>
        <w:rPr>
          <w:rFonts w:ascii="仿宋" w:hAnsi="仿宋" w:eastAsia="仿宋"/>
          <w:kern w:val="0"/>
          <w:sz w:val="32"/>
          <w:szCs w:val="32"/>
        </w:rPr>
      </w:pPr>
      <w:r>
        <w:rPr>
          <w:rFonts w:hint="eastAsia" w:ascii="仿宋" w:hAnsi="仿宋" w:eastAsia="仿宋"/>
          <w:kern w:val="0"/>
          <w:sz w:val="32"/>
          <w:szCs w:val="32"/>
        </w:rPr>
        <w:t>省局重点关注涉及重要税收工作部署、关系经济社会发展的重要涉税舆情，特别是外界对税收工作的疑虑、误解和不实传言，及早发现、研判，及时发布权威信息。积极主动做好重要税收政策的解读，组织税收业务骨干人员成立了税收政策解读专家队伍，主动对一些涉及面广、社会关注度高或专业性比较强的政策性信息及相关重要信息，及时做好信息发布、解读和回应。今年以来，运用图表、视频、动漫等多种可视化方式，在央广网、光明网、新华网山东频道、山东文明网等主流媒体发布热点政策类解读、视频等160余次，通俗易懂地解读报道“营改增”、减税降负、“大众创业万众创新”、“放管服”等国家政策，增强宣传解读效果，为纳税人获取税收政策提供了便利，促进税收遵从。</w:t>
      </w:r>
    </w:p>
    <w:p>
      <w:pPr>
        <w:spacing w:line="600" w:lineRule="exact"/>
        <w:jc w:val="center"/>
        <w:rPr>
          <w:rFonts w:ascii="仿宋" w:hAnsi="仿宋" w:eastAsia="仿宋" w:cs="仿宋"/>
          <w:bCs/>
          <w:sz w:val="32"/>
          <w:szCs w:val="32"/>
        </w:rPr>
      </w:pPr>
    </w:p>
    <w:p>
      <w:pPr>
        <w:spacing w:line="600" w:lineRule="exact"/>
        <w:jc w:val="center"/>
        <w:rPr>
          <w:rFonts w:ascii="楷体" w:hAnsi="楷体" w:eastAsia="楷体" w:cs="楷体"/>
          <w:bCs/>
          <w:sz w:val="32"/>
          <w:szCs w:val="32"/>
        </w:rPr>
      </w:pPr>
      <w:r>
        <w:rPr>
          <w:rFonts w:hint="eastAsia" w:ascii="楷体" w:hAnsi="楷体" w:eastAsia="楷体" w:cs="楷体"/>
        </w:rPr>
        <w:drawing>
          <wp:anchor distT="0" distB="0" distL="114300" distR="114300" simplePos="0" relativeHeight="251662336" behindDoc="0" locked="0" layoutInCell="1" allowOverlap="1">
            <wp:simplePos x="0" y="0"/>
            <wp:positionH relativeFrom="column">
              <wp:posOffset>13970</wp:posOffset>
            </wp:positionH>
            <wp:positionV relativeFrom="paragraph">
              <wp:posOffset>0</wp:posOffset>
            </wp:positionV>
            <wp:extent cx="5760085" cy="3646805"/>
            <wp:effectExtent l="0" t="0" r="0" b="0"/>
            <wp:wrapSquare wrapText="bothSides"/>
            <wp:docPr id="9" name="图片 9" descr="C:\Users\Admin\AppData\Local\Temp\snap_screen_20180125153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AppData\Local\Temp\snap_screen_2018012515314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760000" cy="3646800"/>
                    </a:xfrm>
                    <a:prstGeom prst="rect">
                      <a:avLst/>
                    </a:prstGeom>
                    <a:noFill/>
                    <a:ln>
                      <a:noFill/>
                    </a:ln>
                  </pic:spPr>
                </pic:pic>
              </a:graphicData>
            </a:graphic>
          </wp:anchor>
        </w:drawing>
      </w:r>
      <w:r>
        <w:rPr>
          <w:rFonts w:hint="eastAsia" w:ascii="楷体" w:hAnsi="楷体" w:eastAsia="楷体" w:cs="楷体"/>
          <w:bCs/>
          <w:sz w:val="32"/>
          <w:szCs w:val="32"/>
        </w:rPr>
        <w:t>微信阅读来源分析图</w:t>
      </w:r>
    </w:p>
    <w:p>
      <w:pPr>
        <w:widowControl/>
        <w:spacing w:line="600" w:lineRule="exact"/>
        <w:ind w:firstLine="640" w:firstLineChars="200"/>
        <w:jc w:val="left"/>
        <w:rPr>
          <w:rFonts w:ascii="楷体" w:hAnsi="楷体" w:eastAsia="楷体" w:cs="楷体"/>
          <w:kern w:val="0"/>
          <w:sz w:val="32"/>
          <w:szCs w:val="32"/>
        </w:rPr>
      </w:pPr>
      <w:r>
        <w:rPr>
          <w:rFonts w:hint="eastAsia" w:ascii="楷体" w:hAnsi="楷体" w:eastAsia="楷体" w:cs="楷体"/>
          <w:kern w:val="0"/>
          <w:sz w:val="32"/>
          <w:szCs w:val="32"/>
        </w:rPr>
        <w:t>（六）推进政务公开平台建设方面</w:t>
      </w:r>
    </w:p>
    <w:p>
      <w:pPr>
        <w:widowControl/>
        <w:spacing w:line="600" w:lineRule="exact"/>
        <w:ind w:firstLine="643" w:firstLineChars="200"/>
        <w:jc w:val="left"/>
        <w:rPr>
          <w:rFonts w:ascii="仿宋" w:hAnsi="仿宋" w:eastAsia="仿宋"/>
          <w:kern w:val="0"/>
          <w:sz w:val="32"/>
          <w:szCs w:val="32"/>
        </w:rPr>
      </w:pPr>
      <w:r>
        <w:rPr>
          <w:rFonts w:hint="eastAsia" w:ascii="仿宋" w:hAnsi="仿宋" w:eastAsia="仿宋" w:cs="仿宋"/>
          <w:b/>
          <w:sz w:val="32"/>
          <w:szCs w:val="32"/>
        </w:rPr>
        <w:t>1、强化地税网站建设和管理。</w:t>
      </w:r>
      <w:r>
        <w:rPr>
          <w:rFonts w:hint="eastAsia" w:ascii="仿宋" w:hAnsi="仿宋" w:eastAsia="仿宋"/>
          <w:kern w:val="0"/>
          <w:sz w:val="32"/>
          <w:szCs w:val="32"/>
        </w:rPr>
        <w:t xml:space="preserve">建立健全网站管理制度，完善网站日常监测机制，及时发现和解决网站运行中存在的问题。规范网站信息发布流程，做好信息公开保密审查，准确及时发布信息，发挥网站在政策解读、回应社会关切、与公众互动交流中的积极作用。 </w:t>
      </w:r>
    </w:p>
    <w:p>
      <w:pPr>
        <w:spacing w:line="600" w:lineRule="exact"/>
        <w:jc w:val="center"/>
        <w:rPr>
          <w:rFonts w:ascii="楷体" w:hAnsi="楷体" w:eastAsia="楷体" w:cs="楷体"/>
          <w:bCs/>
          <w:sz w:val="32"/>
          <w:szCs w:val="32"/>
        </w:rPr>
      </w:pPr>
      <w:r>
        <w:rPr>
          <w:rFonts w:hint="eastAsia" w:ascii="楷体" w:hAnsi="楷体" w:eastAsia="楷体" w:cs="楷体"/>
          <w:bCs/>
          <w:sz w:val="32"/>
          <w:szCs w:val="32"/>
        </w:rPr>
        <w:drawing>
          <wp:anchor distT="0" distB="0" distL="0" distR="0" simplePos="0" relativeHeight="251658240" behindDoc="0" locked="0" layoutInCell="1" allowOverlap="1">
            <wp:simplePos x="0" y="0"/>
            <wp:positionH relativeFrom="column">
              <wp:posOffset>807085</wp:posOffset>
            </wp:positionH>
            <wp:positionV relativeFrom="paragraph">
              <wp:posOffset>109855</wp:posOffset>
            </wp:positionV>
            <wp:extent cx="4160520" cy="2431415"/>
            <wp:effectExtent l="0" t="0" r="0" b="6985"/>
            <wp:wrapTopAndBottom/>
            <wp:docPr id="1040" name="图片 33"/>
            <wp:cNvGraphicFramePr/>
            <a:graphic xmlns:a="http://schemas.openxmlformats.org/drawingml/2006/main">
              <a:graphicData uri="http://schemas.openxmlformats.org/drawingml/2006/picture">
                <pic:pic xmlns:pic="http://schemas.openxmlformats.org/drawingml/2006/picture">
                  <pic:nvPicPr>
                    <pic:cNvPr id="1040" name="图片 33"/>
                    <pic:cNvPicPr/>
                  </pic:nvPicPr>
                  <pic:blipFill>
                    <a:blip r:embed="rId17" cstate="print"/>
                    <a:srcRect b="31236"/>
                    <a:stretch>
                      <a:fillRect/>
                    </a:stretch>
                  </pic:blipFill>
                  <pic:spPr>
                    <a:xfrm>
                      <a:off x="0" y="0"/>
                      <a:ext cx="4160520" cy="2431415"/>
                    </a:xfrm>
                    <a:prstGeom prst="rect">
                      <a:avLst/>
                    </a:prstGeom>
                    <a:ln>
                      <a:noFill/>
                    </a:ln>
                  </pic:spPr>
                </pic:pic>
              </a:graphicData>
            </a:graphic>
          </wp:anchor>
        </w:drawing>
      </w:r>
      <w:r>
        <w:rPr>
          <w:rFonts w:hint="eastAsia" w:ascii="楷体" w:hAnsi="楷体" w:eastAsia="楷体" w:cs="楷体"/>
          <w:bCs/>
          <w:sz w:val="32"/>
          <w:szCs w:val="32"/>
        </w:rPr>
        <w:t>利用网站平台发布政策解读</w:t>
      </w:r>
    </w:p>
    <w:p>
      <w:pPr>
        <w:widowControl/>
        <w:spacing w:line="600" w:lineRule="exact"/>
        <w:ind w:firstLine="643" w:firstLineChars="200"/>
        <w:jc w:val="left"/>
        <w:rPr>
          <w:rFonts w:ascii="仿宋" w:hAnsi="仿宋" w:eastAsia="仿宋"/>
          <w:kern w:val="0"/>
          <w:sz w:val="32"/>
          <w:szCs w:val="32"/>
        </w:rPr>
      </w:pPr>
      <w:r>
        <w:rPr>
          <w:rFonts w:hint="eastAsia" w:ascii="仿宋" w:hAnsi="仿宋" w:eastAsia="仿宋" w:cs="仿宋"/>
          <w:b/>
          <w:sz w:val="32"/>
          <w:szCs w:val="32"/>
        </w:rPr>
        <w:t>2、积极开辟税企新媒介。</w:t>
      </w:r>
      <w:r>
        <w:rPr>
          <w:rFonts w:hint="eastAsia" w:ascii="仿宋" w:hAnsi="仿宋" w:eastAsia="仿宋"/>
          <w:kern w:val="0"/>
          <w:sz w:val="32"/>
          <w:szCs w:val="32"/>
        </w:rPr>
        <w:t>精心策划载体，全力打造山东地税微信公众平台，注重内容的欣赏性、趣味性和实用性，从纳税人易于接受、乐于接受的形式出发，选准切入点，找准受众圈，以动漫、漫画等新媒体展现形式，有声有色辐射税收形象。2017年3至5月份，举办了第二届山东地税税收动漫大赛，共向系统内外征集税收动漫及漫画作品200余件，浏览量已突破百万人次，推出的《西游后记之师徒创业》等一批优秀动漫、微电影作品，被总局网站、新媒体等采用，并在山东电视台黄金时段播出。</w:t>
      </w:r>
    </w:p>
    <w:p>
      <w:pPr>
        <w:widowControl/>
        <w:spacing w:line="600" w:lineRule="exact"/>
        <w:ind w:firstLine="640" w:firstLineChars="200"/>
        <w:jc w:val="left"/>
        <w:rPr>
          <w:rFonts w:ascii="仿宋" w:hAnsi="仿宋" w:eastAsia="仿宋"/>
          <w:kern w:val="0"/>
          <w:sz w:val="32"/>
          <w:szCs w:val="32"/>
        </w:rPr>
      </w:pPr>
      <w:r>
        <w:rPr>
          <w:rFonts w:hint="eastAsia" w:ascii="仿宋" w:hAnsi="仿宋" w:eastAsia="仿宋"/>
          <w:kern w:val="0"/>
          <w:sz w:val="32"/>
          <w:szCs w:val="32"/>
        </w:rPr>
        <w:t>为使山东地税微信公众平台更加清新亲民，山东省地税局设计开发了山东地税官方卡通形象——“大辫子”琪琪和“小鲜肉”鲁鲁，推出特色栏目“琪琪鲁鲁帮办税”，并制作成微信表情包传播，短小精悍的文字结构、通俗易懂的语言风格、生动活泼的表现形式，形象可爱“萌萌哒”的琪琪鲁鲁让原本冗长乏味的税收政策、生僻难解的专业术语和容易疏忽的办税事项瞬间活力焕发，也由此被广大纳税人喜闻乐见。据统计，山东地税官方卡通形象“大辫子”琪琪、“小鲜肉”鲁鲁累计下载量已突破500万人次。目前，山东地税微信公众平台已累</w:t>
      </w:r>
      <w:r>
        <w:rPr>
          <w:rFonts w:ascii="仿宋" w:hAnsi="仿宋" w:eastAsia="仿宋"/>
        </w:rPr>
        <w:drawing>
          <wp:anchor distT="0" distB="0" distL="0" distR="0" simplePos="0" relativeHeight="251658240" behindDoc="0" locked="0" layoutInCell="1" allowOverlap="1">
            <wp:simplePos x="0" y="0"/>
            <wp:positionH relativeFrom="margin">
              <wp:posOffset>949960</wp:posOffset>
            </wp:positionH>
            <wp:positionV relativeFrom="paragraph">
              <wp:posOffset>1624330</wp:posOffset>
            </wp:positionV>
            <wp:extent cx="4038600" cy="3372485"/>
            <wp:effectExtent l="0" t="0" r="0" b="0"/>
            <wp:wrapTopAndBottom/>
            <wp:docPr id="1041" name="图片 32"/>
            <wp:cNvGraphicFramePr/>
            <a:graphic xmlns:a="http://schemas.openxmlformats.org/drawingml/2006/main">
              <a:graphicData uri="http://schemas.openxmlformats.org/drawingml/2006/picture">
                <pic:pic xmlns:pic="http://schemas.openxmlformats.org/drawingml/2006/picture">
                  <pic:nvPicPr>
                    <pic:cNvPr id="1041" name="图片 32"/>
                    <pic:cNvPicPr/>
                  </pic:nvPicPr>
                  <pic:blipFill>
                    <a:blip r:embed="rId18" cstate="print"/>
                    <a:srcRect/>
                    <a:stretch>
                      <a:fillRect/>
                    </a:stretch>
                  </pic:blipFill>
                  <pic:spPr>
                    <a:xfrm>
                      <a:off x="0" y="0"/>
                      <a:ext cx="4038600" cy="3372485"/>
                    </a:xfrm>
                    <a:prstGeom prst="rect">
                      <a:avLst/>
                    </a:prstGeom>
                    <a:ln>
                      <a:noFill/>
                    </a:ln>
                  </pic:spPr>
                </pic:pic>
              </a:graphicData>
            </a:graphic>
          </wp:anchor>
        </w:drawing>
      </w:r>
      <w:r>
        <w:rPr>
          <w:rFonts w:hint="eastAsia" w:ascii="仿宋" w:hAnsi="仿宋" w:eastAsia="仿宋"/>
          <w:kern w:val="0"/>
          <w:sz w:val="32"/>
          <w:szCs w:val="32"/>
        </w:rPr>
        <w:t>计阅读人数超过</w:t>
      </w:r>
      <w:r>
        <w:rPr>
          <w:rFonts w:ascii="仿宋" w:hAnsi="仿宋" w:eastAsia="仿宋"/>
          <w:kern w:val="0"/>
          <w:sz w:val="32"/>
          <w:szCs w:val="32"/>
        </w:rPr>
        <w:t>100</w:t>
      </w:r>
      <w:r>
        <w:rPr>
          <w:rFonts w:hint="eastAsia" w:ascii="仿宋" w:hAnsi="仿宋" w:eastAsia="仿宋"/>
          <w:kern w:val="0"/>
          <w:sz w:val="32"/>
          <w:szCs w:val="32"/>
        </w:rPr>
        <w:t>万，累计阅读次数超过</w:t>
      </w:r>
      <w:r>
        <w:rPr>
          <w:rFonts w:ascii="仿宋" w:hAnsi="仿宋" w:eastAsia="仿宋"/>
          <w:kern w:val="0"/>
          <w:sz w:val="32"/>
          <w:szCs w:val="32"/>
        </w:rPr>
        <w:t>2</w:t>
      </w:r>
      <w:r>
        <w:rPr>
          <w:rFonts w:hint="eastAsia" w:ascii="仿宋" w:hAnsi="仿宋" w:eastAsia="仿宋"/>
          <w:kern w:val="0"/>
          <w:sz w:val="32"/>
          <w:szCs w:val="32"/>
        </w:rPr>
        <w:t>00万。</w:t>
      </w:r>
    </w:p>
    <w:p>
      <w:pPr>
        <w:widowControl/>
        <w:spacing w:line="600" w:lineRule="exact"/>
        <w:jc w:val="center"/>
        <w:rPr>
          <w:rFonts w:ascii="楷体" w:hAnsi="楷体" w:eastAsia="楷体" w:cs="楷体"/>
          <w:bCs/>
          <w:kern w:val="0"/>
          <w:sz w:val="32"/>
          <w:szCs w:val="32"/>
        </w:rPr>
      </w:pPr>
      <w:r>
        <w:rPr>
          <w:rFonts w:hint="eastAsia" w:ascii="楷体" w:hAnsi="楷体" w:eastAsia="楷体" w:cs="楷体"/>
          <w:bCs/>
          <w:kern w:val="0"/>
          <w:sz w:val="32"/>
          <w:szCs w:val="32"/>
        </w:rPr>
        <w:t>发布山东地税官方卡通形象</w:t>
      </w:r>
    </w:p>
    <w:p>
      <w:pPr>
        <w:widowControl/>
        <w:spacing w:line="600" w:lineRule="exact"/>
        <w:jc w:val="center"/>
        <w:rPr>
          <w:rFonts w:ascii="楷体" w:hAnsi="楷体" w:eastAsia="楷体" w:cs="楷体"/>
          <w:bCs/>
          <w:kern w:val="0"/>
          <w:sz w:val="32"/>
          <w:szCs w:val="32"/>
        </w:rPr>
      </w:pPr>
      <w:r>
        <w:rPr>
          <w:rFonts w:hint="eastAsia" w:ascii="楷体" w:hAnsi="楷体" w:eastAsia="楷体" w:cs="楷体"/>
          <w:sz w:val="32"/>
          <w:szCs w:val="32"/>
        </w:rPr>
        <w:drawing>
          <wp:anchor distT="0" distB="0" distL="0" distR="0" simplePos="0" relativeHeight="251659264" behindDoc="0" locked="0" layoutInCell="1" allowOverlap="1">
            <wp:simplePos x="0" y="0"/>
            <wp:positionH relativeFrom="margin">
              <wp:posOffset>381635</wp:posOffset>
            </wp:positionH>
            <wp:positionV relativeFrom="paragraph">
              <wp:posOffset>243205</wp:posOffset>
            </wp:positionV>
            <wp:extent cx="5126990" cy="2987040"/>
            <wp:effectExtent l="0" t="0" r="0" b="3810"/>
            <wp:wrapTopAndBottom/>
            <wp:docPr id="1042" name="图片 31"/>
            <wp:cNvGraphicFramePr/>
            <a:graphic xmlns:a="http://schemas.openxmlformats.org/drawingml/2006/main">
              <a:graphicData uri="http://schemas.openxmlformats.org/drawingml/2006/picture">
                <pic:pic xmlns:pic="http://schemas.openxmlformats.org/drawingml/2006/picture">
                  <pic:nvPicPr>
                    <pic:cNvPr id="1042" name="图片 31"/>
                    <pic:cNvPicPr/>
                  </pic:nvPicPr>
                  <pic:blipFill>
                    <a:blip r:embed="rId19" cstate="print"/>
                    <a:srcRect/>
                    <a:stretch>
                      <a:fillRect/>
                    </a:stretch>
                  </pic:blipFill>
                  <pic:spPr>
                    <a:xfrm>
                      <a:off x="0" y="0"/>
                      <a:ext cx="5126990" cy="2987040"/>
                    </a:xfrm>
                    <a:prstGeom prst="rect">
                      <a:avLst/>
                    </a:prstGeom>
                    <a:ln>
                      <a:noFill/>
                    </a:ln>
                  </pic:spPr>
                </pic:pic>
              </a:graphicData>
            </a:graphic>
          </wp:anchor>
        </w:drawing>
      </w:r>
      <w:r>
        <w:rPr>
          <w:rFonts w:hint="eastAsia" w:ascii="楷体" w:hAnsi="楷体" w:eastAsia="楷体" w:cs="楷体"/>
          <w:bCs/>
          <w:kern w:val="0"/>
          <w:sz w:val="32"/>
          <w:szCs w:val="32"/>
        </w:rPr>
        <w:t>2017年微信用户增长趋势图</w:t>
      </w:r>
    </w:p>
    <w:p>
      <w:pPr>
        <w:widowControl/>
        <w:spacing w:line="600" w:lineRule="exact"/>
        <w:ind w:firstLine="643" w:firstLineChars="200"/>
        <w:rPr>
          <w:rFonts w:ascii="仿宋" w:hAnsi="仿宋" w:eastAsia="仿宋"/>
          <w:kern w:val="0"/>
          <w:sz w:val="32"/>
          <w:szCs w:val="32"/>
        </w:rPr>
      </w:pPr>
      <w:r>
        <w:rPr>
          <w:rFonts w:hint="eastAsia" w:ascii="仿宋" w:hAnsi="仿宋" w:eastAsia="仿宋" w:cs="仿宋"/>
          <w:b/>
          <w:sz w:val="32"/>
          <w:szCs w:val="32"/>
        </w:rPr>
        <w:t>3、充分利用新闻媒体平台。</w:t>
      </w:r>
      <w:r>
        <w:rPr>
          <w:rFonts w:hint="eastAsia" w:ascii="仿宋" w:hAnsi="仿宋" w:eastAsia="仿宋"/>
          <w:kern w:val="0"/>
          <w:sz w:val="32"/>
          <w:szCs w:val="32"/>
        </w:rPr>
        <w:t>紧紧抓住当前的形势背景和基层亮点，加大反映山东地税系统上下便民办税、提速增效等服务新举措、新进展的宣传力度，策划组织了“‘营改增’企业回娘家纳税服务再升级”、“‘山东地税护航中小企业‘走出去’发展”、“‘税银互动’助力小微企业发展成效明显”、“《山东地方税收保障条例》七周年回顾”等一系列重点稿件，在《新华社国内动态清样》、《新华社高管信息》、《经济日报》等中央主流媒体发稿26篇，在更广阔的平台展示了山东地税的良好形象。</w:t>
      </w:r>
    </w:p>
    <w:p>
      <w:pPr>
        <w:widowControl/>
        <w:spacing w:line="600" w:lineRule="exact"/>
        <w:jc w:val="center"/>
        <w:rPr>
          <w:rFonts w:ascii="楷体" w:hAnsi="楷体" w:eastAsia="楷体" w:cs="楷体"/>
          <w:bCs/>
          <w:kern w:val="0"/>
          <w:sz w:val="32"/>
          <w:szCs w:val="32"/>
        </w:rPr>
      </w:pPr>
      <w:r>
        <w:rPr>
          <w:rFonts w:hint="eastAsia" w:ascii="楷体" w:hAnsi="楷体" w:eastAsia="楷体" w:cs="楷体"/>
          <w:bCs/>
          <w:sz w:val="32"/>
          <w:szCs w:val="32"/>
        </w:rPr>
        <w:drawing>
          <wp:anchor distT="0" distB="0" distL="0" distR="0" simplePos="0" relativeHeight="251660288" behindDoc="0" locked="0" layoutInCell="1" allowOverlap="1">
            <wp:simplePos x="0" y="0"/>
            <wp:positionH relativeFrom="column">
              <wp:align>center</wp:align>
            </wp:positionH>
            <wp:positionV relativeFrom="paragraph">
              <wp:posOffset>25400</wp:posOffset>
            </wp:positionV>
            <wp:extent cx="2188845" cy="3888105"/>
            <wp:effectExtent l="0" t="0" r="1905" b="0"/>
            <wp:wrapTopAndBottom/>
            <wp:docPr id="1043" name="图片 30"/>
            <wp:cNvGraphicFramePr/>
            <a:graphic xmlns:a="http://schemas.openxmlformats.org/drawingml/2006/main">
              <a:graphicData uri="http://schemas.openxmlformats.org/drawingml/2006/picture">
                <pic:pic xmlns:pic="http://schemas.openxmlformats.org/drawingml/2006/picture">
                  <pic:nvPicPr>
                    <pic:cNvPr id="1043" name="图片 30"/>
                    <pic:cNvPicPr/>
                  </pic:nvPicPr>
                  <pic:blipFill>
                    <a:blip r:embed="rId20" cstate="print"/>
                    <a:srcRect/>
                    <a:stretch>
                      <a:fillRect/>
                    </a:stretch>
                  </pic:blipFill>
                  <pic:spPr>
                    <a:xfrm>
                      <a:off x="0" y="0"/>
                      <a:ext cx="2188800" cy="3888000"/>
                    </a:xfrm>
                    <a:prstGeom prst="rect">
                      <a:avLst/>
                    </a:prstGeom>
                    <a:ln>
                      <a:noFill/>
                    </a:ln>
                  </pic:spPr>
                </pic:pic>
              </a:graphicData>
            </a:graphic>
          </wp:anchor>
        </w:drawing>
      </w:r>
      <w:r>
        <w:rPr>
          <w:rFonts w:hint="eastAsia" w:ascii="楷体" w:hAnsi="楷体" w:eastAsia="楷体" w:cs="楷体"/>
          <w:bCs/>
          <w:kern w:val="0"/>
          <w:sz w:val="32"/>
          <w:szCs w:val="32"/>
        </w:rPr>
        <w:t>山东地税微信公众号</w:t>
      </w:r>
    </w:p>
    <w:p>
      <w:pPr>
        <w:widowControl/>
        <w:spacing w:line="600" w:lineRule="exact"/>
        <w:ind w:firstLine="640" w:firstLineChars="200"/>
        <w:jc w:val="left"/>
        <w:rPr>
          <w:rFonts w:ascii="楷体" w:hAnsi="楷体" w:eastAsia="楷体" w:cs="楷体"/>
          <w:kern w:val="0"/>
          <w:sz w:val="32"/>
          <w:szCs w:val="32"/>
        </w:rPr>
      </w:pPr>
      <w:r>
        <w:rPr>
          <w:rFonts w:hint="eastAsia" w:ascii="楷体" w:hAnsi="楷体" w:eastAsia="楷体" w:cs="楷体"/>
          <w:kern w:val="0"/>
          <w:sz w:val="32"/>
          <w:szCs w:val="32"/>
        </w:rPr>
        <w:t>（七）扩大社会公众参与方面</w:t>
      </w:r>
    </w:p>
    <w:p>
      <w:pPr>
        <w:widowControl/>
        <w:spacing w:line="600" w:lineRule="exact"/>
        <w:ind w:firstLine="643" w:firstLineChars="200"/>
        <w:jc w:val="left"/>
        <w:rPr>
          <w:rFonts w:ascii="仿宋" w:hAnsi="仿宋" w:eastAsia="仿宋"/>
          <w:kern w:val="0"/>
          <w:sz w:val="32"/>
          <w:szCs w:val="32"/>
        </w:rPr>
      </w:pPr>
      <w:r>
        <w:rPr>
          <w:rFonts w:hint="eastAsia" w:ascii="仿宋" w:hAnsi="仿宋" w:eastAsia="仿宋" w:cs="仿宋"/>
          <w:b/>
          <w:sz w:val="32"/>
          <w:szCs w:val="32"/>
        </w:rPr>
        <w:t>1、明确公众参与事项。</w:t>
      </w:r>
      <w:r>
        <w:rPr>
          <w:rFonts w:hint="eastAsia" w:ascii="仿宋" w:hAnsi="仿宋" w:eastAsia="仿宋"/>
          <w:kern w:val="0"/>
          <w:sz w:val="32"/>
          <w:szCs w:val="32"/>
        </w:rPr>
        <w:t xml:space="preserve">围绕税收中心工作，细化公众参与事项范围，让公众更大程度参与政策制定、执行和监督。省局重点围绕年度计划、规范性文件、重要税收政策措施等决策事项，着力做好公众参与工作。各区县局重点围绕税收执法监管、税收优惠政策措施的执行落地，着力加强利益相关方和社会公众的参与。 </w:t>
      </w:r>
    </w:p>
    <w:p>
      <w:pPr>
        <w:widowControl/>
        <w:spacing w:line="600" w:lineRule="exact"/>
        <w:ind w:firstLine="643" w:firstLineChars="200"/>
        <w:jc w:val="left"/>
        <w:rPr>
          <w:rFonts w:ascii="仿宋" w:hAnsi="仿宋" w:eastAsia="仿宋"/>
          <w:kern w:val="0"/>
          <w:sz w:val="32"/>
          <w:szCs w:val="32"/>
        </w:rPr>
      </w:pPr>
      <w:r>
        <w:rPr>
          <w:rFonts w:hint="eastAsia" w:ascii="仿宋" w:hAnsi="仿宋" w:eastAsia="仿宋" w:cs="仿宋"/>
          <w:b/>
          <w:sz w:val="32"/>
          <w:szCs w:val="32"/>
        </w:rPr>
        <w:t>2、规范公众参与方式。</w:t>
      </w:r>
      <w:r>
        <w:rPr>
          <w:rFonts w:hint="eastAsia" w:ascii="仿宋" w:hAnsi="仿宋" w:eastAsia="仿宋"/>
          <w:kern w:val="0"/>
          <w:sz w:val="32"/>
          <w:szCs w:val="32"/>
        </w:rPr>
        <w:t xml:space="preserve">完善民意汇集机制，拓展公众参与方式，激发公众参与的积极性。涉及重大税收改革和公众利益的重要决策，应通过广泛征求意见、专家座谈、听证会、论证会、调查研究、咨询协商、列席会议、媒体吹风等方式扩大公众参与，充分了解纳税人和社会公众的意见建议。发挥好人大代表、政协委员、民主党派、人民团体、社会公众、新闻媒体的监督作用，积极运用第三方评估等方式，做好政策措施执行的评估和监督工作。征求意见的采纳情况应予公布，相对集中的意见建议不予采纳的，公布时要说明理由。 </w:t>
      </w:r>
    </w:p>
    <w:p>
      <w:pPr>
        <w:widowControl/>
        <w:spacing w:line="600" w:lineRule="exact"/>
        <w:ind w:firstLine="643" w:firstLineChars="200"/>
        <w:rPr>
          <w:rFonts w:ascii="仿宋" w:hAnsi="仿宋" w:eastAsia="仿宋"/>
          <w:kern w:val="0"/>
          <w:sz w:val="32"/>
          <w:szCs w:val="32"/>
        </w:rPr>
      </w:pPr>
      <w:r>
        <w:rPr>
          <w:rFonts w:hint="eastAsia" w:ascii="仿宋" w:hAnsi="仿宋" w:eastAsia="仿宋" w:cs="仿宋"/>
          <w:b/>
          <w:sz w:val="32"/>
          <w:szCs w:val="32"/>
        </w:rPr>
        <w:t>3、完善公众参与渠道。</w:t>
      </w:r>
      <w:r>
        <w:rPr>
          <w:rFonts w:hint="eastAsia" w:ascii="仿宋" w:hAnsi="仿宋" w:eastAsia="仿宋"/>
          <w:kern w:val="0"/>
          <w:sz w:val="32"/>
          <w:szCs w:val="32"/>
        </w:rPr>
        <w:t>加强纳税人需求征集工作，通过纳税人满意度调查、纳税人座谈会、入户走访等方式收集纳税人需求。不断完善地税网站意见建议征集、公众留言办理、局长信箱等互动功能，依托新闻发布会、在线访谈、局长接访等形式，扩大公众参与面。积极探索公众参与新模式，利用“两微一端”等新媒体搭建公众参与新平台，支持多渠道的信息发布和政民互动。先后策划推出“服务供给侧改革”、“税收助力新旧动能转换”等系列专栏，用老百姓听得懂的语言，深入浅出地阐述税收与经济、税收与企业、税收与民生的关系，角度新颖，正本清源，接地气，讲白话，把税收宣传和服务贯通到“最后一公里”。开展“献给纳税人的一句话”、“倾听微心愿”等活动，共收集社会各界对地税工作建议1300余条；汇聚征纳双方宛转悠扬的好声音，按照国家税务总局《纳税信用管理办法（试行）》，与国税部门联合公布了201</w:t>
      </w:r>
      <w:r>
        <w:rPr>
          <w:rFonts w:ascii="仿宋" w:hAnsi="仿宋" w:eastAsia="仿宋"/>
          <w:kern w:val="0"/>
          <w:sz w:val="32"/>
          <w:szCs w:val="32"/>
        </w:rPr>
        <w:t>6</w:t>
      </w:r>
      <w:r>
        <w:rPr>
          <w:rFonts w:hint="eastAsia" w:ascii="仿宋" w:hAnsi="仿宋" w:eastAsia="仿宋"/>
          <w:kern w:val="0"/>
          <w:sz w:val="32"/>
          <w:szCs w:val="32"/>
        </w:rPr>
        <w:t>年A级纳税人名单，详细解读了纳税信用的评定对象、标准、程序、结果应用等内容，提示警惕失信危机。积极推动纳税信用与其他社会信用联动管理，形成激励和惩戒的合力，进一步营造了公开、透明的税收环境。</w:t>
      </w:r>
    </w:p>
    <w:p>
      <w:pPr>
        <w:jc w:val="center"/>
        <w:rPr>
          <w:rFonts w:ascii="仿宋_GB2312" w:hAnsi="华文中宋" w:eastAsia="仿宋_GB2312"/>
          <w:sz w:val="32"/>
          <w:szCs w:val="32"/>
        </w:rPr>
      </w:pPr>
      <w:r>
        <w:rPr>
          <w:rFonts w:hint="eastAsia" w:ascii="楷体" w:hAnsi="楷体" w:eastAsia="楷体" w:cs="楷体"/>
          <w:bCs/>
          <w:kern w:val="0"/>
          <w:sz w:val="32"/>
          <w:szCs w:val="32"/>
        </w:rPr>
        <w:drawing>
          <wp:anchor distT="0" distB="0" distL="0" distR="0" simplePos="0" relativeHeight="251661312" behindDoc="0" locked="0" layoutInCell="1" allowOverlap="1">
            <wp:simplePos x="0" y="0"/>
            <wp:positionH relativeFrom="column">
              <wp:align>center</wp:align>
            </wp:positionH>
            <wp:positionV relativeFrom="paragraph">
              <wp:posOffset>49530</wp:posOffset>
            </wp:positionV>
            <wp:extent cx="4337685" cy="2883535"/>
            <wp:effectExtent l="0" t="0" r="5715" b="0"/>
            <wp:wrapTopAndBottom/>
            <wp:docPr id="1045" name="图片 29"/>
            <wp:cNvGraphicFramePr/>
            <a:graphic xmlns:a="http://schemas.openxmlformats.org/drawingml/2006/main">
              <a:graphicData uri="http://schemas.openxmlformats.org/drawingml/2006/picture">
                <pic:pic xmlns:pic="http://schemas.openxmlformats.org/drawingml/2006/picture">
                  <pic:nvPicPr>
                    <pic:cNvPr id="1045" name="图片 29"/>
                    <pic:cNvPicPr/>
                  </pic:nvPicPr>
                  <pic:blipFill>
                    <a:blip r:embed="rId21" cstate="print"/>
                    <a:srcRect/>
                    <a:stretch>
                      <a:fillRect/>
                    </a:stretch>
                  </pic:blipFill>
                  <pic:spPr>
                    <a:xfrm>
                      <a:off x="0" y="0"/>
                      <a:ext cx="4338000" cy="2883600"/>
                    </a:xfrm>
                    <a:prstGeom prst="rect">
                      <a:avLst/>
                    </a:prstGeom>
                    <a:ln>
                      <a:noFill/>
                    </a:ln>
                  </pic:spPr>
                </pic:pic>
              </a:graphicData>
            </a:graphic>
          </wp:anchor>
        </w:drawing>
      </w:r>
      <w:r>
        <w:rPr>
          <w:rFonts w:hint="eastAsia" w:ascii="楷体" w:hAnsi="楷体" w:eastAsia="楷体" w:cs="楷体"/>
          <w:bCs/>
          <w:kern w:val="0"/>
          <w:sz w:val="32"/>
          <w:szCs w:val="32"/>
        </w:rPr>
        <w:t>开展在线访谈活动</w:t>
      </w:r>
    </w:p>
    <w:p>
      <w:pPr>
        <w:rPr>
          <w:rFonts w:ascii="仿宋_GB2312" w:hAnsi="华文中宋" w:eastAsia="仿宋_GB2312"/>
          <w:sz w:val="32"/>
          <w:szCs w:val="32"/>
        </w:rPr>
      </w:pPr>
    </w:p>
    <w:p>
      <w:pPr>
        <w:rPr>
          <w:rFonts w:ascii="仿宋_GB2312" w:hAnsi="华文中宋" w:eastAsia="仿宋_GB2312"/>
          <w:sz w:val="32"/>
          <w:szCs w:val="32"/>
        </w:rPr>
      </w:pPr>
    </w:p>
    <w:p>
      <w:pPr>
        <w:rPr>
          <w:rFonts w:ascii="仿宋_GB2312" w:hAnsi="华文中宋" w:eastAsia="仿宋_GB2312"/>
          <w:sz w:val="32"/>
          <w:szCs w:val="32"/>
        </w:rPr>
      </w:pPr>
    </w:p>
    <w:p>
      <w:pPr>
        <w:rPr>
          <w:rFonts w:ascii="仿宋_GB2312" w:hAnsi="华文中宋" w:eastAsia="仿宋_GB2312"/>
          <w:sz w:val="32"/>
          <w:szCs w:val="32"/>
        </w:rPr>
      </w:pPr>
    </w:p>
    <w:p>
      <w:pPr>
        <w:rPr>
          <w:rFonts w:ascii="仿宋_GB2312" w:hAnsi="华文中宋" w:eastAsia="仿宋_GB2312"/>
          <w:sz w:val="32"/>
          <w:szCs w:val="32"/>
        </w:rPr>
      </w:pPr>
    </w:p>
    <w:p>
      <w:pPr>
        <w:rPr>
          <w:rFonts w:ascii="仿宋_GB2312" w:hAnsi="华文中宋" w:eastAsia="仿宋_GB2312"/>
          <w:sz w:val="32"/>
          <w:szCs w:val="32"/>
        </w:rPr>
      </w:pPr>
    </w:p>
    <w:p>
      <w:pPr>
        <w:rPr>
          <w:rFonts w:ascii="仿宋_GB2312" w:hAnsi="华文中宋" w:eastAsia="仿宋_GB2312"/>
          <w:sz w:val="32"/>
          <w:szCs w:val="32"/>
        </w:rPr>
      </w:pPr>
    </w:p>
    <w:p>
      <w:pPr>
        <w:rPr>
          <w:rFonts w:ascii="仿宋_GB2312" w:hAnsi="华文中宋" w:eastAsia="仿宋_GB2312"/>
          <w:sz w:val="32"/>
          <w:szCs w:val="32"/>
        </w:rPr>
      </w:pPr>
    </w:p>
    <w:p>
      <w:pPr>
        <w:rPr>
          <w:rFonts w:ascii="仿宋_GB2312" w:hAnsi="华文中宋" w:eastAsia="仿宋_GB2312"/>
          <w:sz w:val="32"/>
          <w:szCs w:val="32"/>
        </w:rPr>
      </w:pPr>
    </w:p>
    <w:p>
      <w:pPr>
        <w:rPr>
          <w:rFonts w:ascii="仿宋_GB2312" w:hAnsi="华文中宋" w:eastAsia="仿宋_GB2312"/>
          <w:sz w:val="32"/>
          <w:szCs w:val="32"/>
        </w:rPr>
      </w:pPr>
    </w:p>
    <w:p>
      <w:pPr>
        <w:rPr>
          <w:rFonts w:ascii="仿宋_GB2312" w:hAnsi="华文中宋" w:eastAsia="仿宋_GB2312"/>
          <w:sz w:val="32"/>
          <w:szCs w:val="32"/>
        </w:rPr>
      </w:pPr>
    </w:p>
    <w:p>
      <w:pPr>
        <w:rPr>
          <w:rFonts w:ascii="仿宋_GB2312" w:hAnsi="华文中宋" w:eastAsia="仿宋_GB2312"/>
          <w:sz w:val="32"/>
          <w:szCs w:val="32"/>
        </w:rPr>
      </w:pPr>
    </w:p>
    <w:p>
      <w:pPr>
        <w:rPr>
          <w:rFonts w:ascii="仿宋_GB2312" w:hAnsi="华文中宋" w:eastAsia="仿宋_GB2312"/>
          <w:sz w:val="32"/>
          <w:szCs w:val="32"/>
        </w:rPr>
      </w:pPr>
    </w:p>
    <w:p>
      <w:pPr>
        <w:rPr>
          <w:rFonts w:ascii="仿宋_GB2312" w:hAnsi="华文中宋" w:eastAsia="仿宋_GB2312"/>
          <w:sz w:val="32"/>
          <w:szCs w:val="32"/>
        </w:rPr>
      </w:pPr>
    </w:p>
    <w:p>
      <w:pPr>
        <w:rPr>
          <w:rFonts w:ascii="黑体" w:hAnsi="黑体" w:eastAsia="黑体" w:cs="黑体"/>
          <w:sz w:val="32"/>
          <w:szCs w:val="32"/>
        </w:rPr>
      </w:pPr>
      <w:r>
        <w:rPr>
          <w:rFonts w:hint="eastAsia" w:ascii="黑体" w:hAnsi="黑体" w:eastAsia="黑体" w:cs="黑体"/>
          <w:sz w:val="32"/>
          <w:szCs w:val="32"/>
        </w:rPr>
        <w:t>附件</w:t>
      </w:r>
    </w:p>
    <w:p>
      <w:pPr>
        <w:jc w:val="center"/>
        <w:rPr>
          <w:rFonts w:ascii="方正小标宋简体" w:hAnsi="方正小标宋简体" w:eastAsia="方正小标宋简体" w:cs="方正小标宋简体"/>
          <w:bCs/>
          <w:sz w:val="36"/>
          <w:szCs w:val="36"/>
        </w:rPr>
      </w:pPr>
      <w:r>
        <w:rPr>
          <w:rFonts w:hint="eastAsia" w:ascii="方正小标宋简体" w:hAnsi="方正小标宋简体" w:eastAsia="方正小标宋简体" w:cs="方正小标宋简体"/>
          <w:bCs/>
          <w:sz w:val="36"/>
          <w:szCs w:val="36"/>
        </w:rPr>
        <w:t>2017年度政府信息公开工作情况统计表</w:t>
      </w:r>
    </w:p>
    <w:p>
      <w:pPr>
        <w:jc w:val="center"/>
        <w:rPr>
          <w:rFonts w:ascii="仿宋" w:hAnsi="仿宋" w:eastAsia="仿宋" w:cs="仿宋"/>
          <w:b/>
        </w:rPr>
      </w:pPr>
      <w:r>
        <w:rPr>
          <w:rFonts w:hint="eastAsia" w:ascii="仿宋" w:hAnsi="仿宋" w:eastAsia="仿宋" w:cs="仿宋"/>
          <w:b/>
          <w:sz w:val="28"/>
          <w:szCs w:val="28"/>
        </w:rPr>
        <w:t>（山东省地方税务局）</w:t>
      </w:r>
    </w:p>
    <w:tbl>
      <w:tblPr>
        <w:tblStyle w:val="10"/>
        <w:tblW w:w="9450" w:type="dxa"/>
        <w:jc w:val="center"/>
        <w:tblInd w:w="0" w:type="dxa"/>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7575"/>
        <w:gridCol w:w="1020"/>
        <w:gridCol w:w="855"/>
      </w:tblGrid>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before="0" w:beforeAutospacing="0" w:after="0" w:afterAutospacing="0" w:line="420" w:lineRule="atLeast"/>
              <w:ind w:firstLine="685"/>
              <w:jc w:val="center"/>
              <w:rPr>
                <w:rFonts w:ascii="仿宋" w:hAnsi="仿宋" w:eastAsia="仿宋" w:cs="仿宋"/>
                <w:color w:val="000000"/>
              </w:rPr>
            </w:pPr>
            <w:r>
              <w:rPr>
                <w:rStyle w:val="7"/>
                <w:rFonts w:hint="eastAsia" w:ascii="仿宋" w:hAnsi="仿宋" w:eastAsia="仿宋" w:cs="仿宋"/>
                <w:color w:val="000000"/>
                <w:sz w:val="20"/>
                <w:szCs w:val="20"/>
              </w:rPr>
              <w:t>统　计　指　标</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仿宋" w:hAnsi="仿宋" w:eastAsia="仿宋" w:cs="仿宋"/>
                <w:color w:val="000000"/>
                <w:sz w:val="24"/>
              </w:rPr>
            </w:pPr>
            <w:r>
              <w:rPr>
                <w:rStyle w:val="7"/>
                <w:rFonts w:hint="eastAsia" w:ascii="仿宋" w:hAnsi="仿宋" w:eastAsia="仿宋" w:cs="仿宋"/>
                <w:color w:val="000000"/>
                <w:sz w:val="20"/>
                <w:szCs w:val="20"/>
              </w:rPr>
              <w:t>单位</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仿宋" w:hAnsi="仿宋" w:eastAsia="仿宋" w:cs="仿宋"/>
                <w:color w:val="000000"/>
                <w:sz w:val="24"/>
              </w:rPr>
            </w:pPr>
            <w:r>
              <w:rPr>
                <w:rStyle w:val="7"/>
                <w:rFonts w:hint="eastAsia" w:ascii="仿宋" w:hAnsi="仿宋" w:eastAsia="仿宋" w:cs="仿宋"/>
                <w:color w:val="000000"/>
                <w:sz w:val="20"/>
                <w:szCs w:val="20"/>
              </w:rPr>
              <w:t>统计数</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sz w:val="20"/>
                <w:szCs w:val="20"/>
              </w:rPr>
              <w:t>一、主动公开情况</w:t>
            </w:r>
          </w:p>
        </w:tc>
        <w:tc>
          <w:tcPr>
            <w:tcW w:w="1020" w:type="dxa"/>
            <w:tcBorders>
              <w:top w:val="outset" w:color="000000" w:sz="6" w:space="0"/>
              <w:left w:val="outset" w:color="000000" w:sz="6" w:space="0"/>
              <w:bottom w:val="outset" w:color="000000" w:sz="6" w:space="0"/>
              <w:right w:val="outset" w:color="000000" w:sz="6" w:space="0"/>
              <w:tr2bl w:val="single" w:color="auto" w:sz="4" w:space="0"/>
            </w:tcBorders>
            <w:shd w:val="clear" w:color="auto" w:fill="FFFFFF"/>
            <w:vAlign w:val="center"/>
          </w:tcPr>
          <w:p>
            <w:pPr>
              <w:spacing w:line="420" w:lineRule="atLeast"/>
              <w:jc w:val="center"/>
              <w:rPr>
                <w:rFonts w:ascii="仿宋" w:hAnsi="仿宋" w:eastAsia="仿宋" w:cs="仿宋"/>
                <w:color w:val="000000"/>
                <w:sz w:val="24"/>
              </w:rPr>
            </w:pP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sz w:val="20"/>
                <w:szCs w:val="20"/>
              </w:rPr>
              <w:t>　　　　</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sz w:val="20"/>
                <w:szCs w:val="20"/>
              </w:rPr>
              <w:t>　　（一）主动公开政府信息数</w:t>
            </w:r>
            <w:r>
              <w:rPr>
                <w:rFonts w:hint="eastAsia" w:ascii="仿宋" w:hAnsi="仿宋" w:eastAsia="仿宋" w:cs="仿宋"/>
                <w:color w:val="000000"/>
                <w:sz w:val="20"/>
                <w:szCs w:val="20"/>
              </w:rPr>
              <w:br w:type="textWrapping"/>
            </w:r>
            <w:r>
              <w:rPr>
                <w:rFonts w:hint="eastAsia" w:ascii="仿宋" w:hAnsi="仿宋" w:eastAsia="仿宋" w:cs="仿宋"/>
                <w:color w:val="000000"/>
                <w:sz w:val="20"/>
                <w:szCs w:val="20"/>
              </w:rPr>
              <w:t>　　　　（不同渠道和方式公开相同信息计1条）</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仿宋" w:hAnsi="仿宋" w:eastAsia="仿宋" w:cs="仿宋"/>
                <w:color w:val="000000"/>
                <w:sz w:val="24"/>
              </w:rPr>
            </w:pPr>
            <w:r>
              <w:rPr>
                <w:rFonts w:hint="eastAsia" w:ascii="仿宋" w:hAnsi="仿宋" w:eastAsia="仿宋" w:cs="仿宋"/>
                <w:color w:val="000000"/>
                <w:sz w:val="20"/>
                <w:szCs w:val="20"/>
              </w:rPr>
              <w:t>条</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sz w:val="20"/>
                <w:szCs w:val="20"/>
              </w:rPr>
              <w:t>　5075　　　</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sz w:val="20"/>
                <w:szCs w:val="20"/>
              </w:rPr>
              <w:t>　　　　　　其中：主动公开规范性文件数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仿宋" w:hAnsi="仿宋" w:eastAsia="仿宋" w:cs="仿宋"/>
                <w:color w:val="000000"/>
                <w:sz w:val="24"/>
              </w:rPr>
            </w:pPr>
            <w:r>
              <w:rPr>
                <w:rFonts w:hint="eastAsia" w:ascii="仿宋" w:hAnsi="仿宋" w:eastAsia="仿宋" w:cs="仿宋"/>
                <w:color w:val="000000"/>
                <w:sz w:val="20"/>
                <w:szCs w:val="20"/>
              </w:rPr>
              <w:t>条</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sz w:val="20"/>
                <w:szCs w:val="20"/>
              </w:rPr>
              <w:t>　6</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sz w:val="20"/>
                <w:szCs w:val="20"/>
              </w:rPr>
              <w:t>　　　　　　　　　制发规范性文件总数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仿宋" w:hAnsi="仿宋" w:eastAsia="仿宋" w:cs="仿宋"/>
                <w:color w:val="000000"/>
                <w:sz w:val="24"/>
              </w:rPr>
            </w:pPr>
            <w:r>
              <w:rPr>
                <w:rFonts w:hint="eastAsia" w:ascii="仿宋" w:hAnsi="仿宋" w:eastAsia="仿宋" w:cs="仿宋"/>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sz w:val="20"/>
                <w:szCs w:val="20"/>
              </w:rPr>
              <w:t>　6</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sz w:val="20"/>
                <w:szCs w:val="20"/>
              </w:rPr>
              <w:t>　　（二）通过不同渠道和方式公开政府信息的情况</w:t>
            </w:r>
          </w:p>
        </w:tc>
        <w:tc>
          <w:tcPr>
            <w:tcW w:w="1020" w:type="dxa"/>
            <w:tcBorders>
              <w:top w:val="outset" w:color="000000" w:sz="6" w:space="0"/>
              <w:left w:val="outset" w:color="000000" w:sz="6" w:space="0"/>
              <w:bottom w:val="outset" w:color="000000" w:sz="6" w:space="0"/>
              <w:right w:val="outset" w:color="000000" w:sz="6" w:space="0"/>
              <w:tr2bl w:val="single" w:color="auto" w:sz="4" w:space="0"/>
            </w:tcBorders>
            <w:shd w:val="clear" w:color="auto" w:fill="FFFFFF"/>
            <w:vAlign w:val="center"/>
          </w:tcPr>
          <w:p>
            <w:pPr>
              <w:spacing w:line="420" w:lineRule="atLeast"/>
              <w:jc w:val="center"/>
              <w:rPr>
                <w:rFonts w:ascii="仿宋" w:hAnsi="仿宋" w:eastAsia="仿宋" w:cs="仿宋"/>
                <w:color w:val="000000"/>
                <w:sz w:val="24"/>
              </w:rPr>
            </w:pP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sz w:val="20"/>
                <w:szCs w:val="20"/>
              </w:rPr>
              <w:t>　</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sz w:val="20"/>
                <w:szCs w:val="20"/>
              </w:rPr>
              <w:t>　　　　　1.政府公报公开政府信息数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仿宋" w:hAnsi="仿宋" w:eastAsia="仿宋" w:cs="仿宋"/>
                <w:color w:val="000000"/>
                <w:sz w:val="24"/>
              </w:rPr>
            </w:pPr>
            <w:r>
              <w:rPr>
                <w:rFonts w:hint="eastAsia" w:ascii="仿宋" w:hAnsi="仿宋" w:eastAsia="仿宋" w:cs="仿宋"/>
                <w:color w:val="000000"/>
                <w:sz w:val="20"/>
                <w:szCs w:val="20"/>
              </w:rPr>
              <w:t>条</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sz w:val="20"/>
                <w:szCs w:val="20"/>
              </w:rPr>
              <w:t>　6</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sz w:val="20"/>
                <w:szCs w:val="20"/>
              </w:rPr>
              <w:t>　　　　　2.政府网站公开政府信息数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仿宋" w:hAnsi="仿宋" w:eastAsia="仿宋" w:cs="仿宋"/>
                <w:color w:val="000000"/>
                <w:sz w:val="24"/>
              </w:rPr>
            </w:pPr>
            <w:r>
              <w:rPr>
                <w:rFonts w:hint="eastAsia" w:ascii="仿宋" w:hAnsi="仿宋" w:eastAsia="仿宋" w:cs="仿宋"/>
                <w:color w:val="000000"/>
                <w:sz w:val="20"/>
                <w:szCs w:val="20"/>
              </w:rPr>
              <w:t>条</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sz w:val="20"/>
                <w:szCs w:val="20"/>
              </w:rPr>
              <w:t>　2784</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sz w:val="20"/>
                <w:szCs w:val="20"/>
              </w:rPr>
              <w:t>　　　　　3.政务微博公开政府信息数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仿宋" w:hAnsi="仿宋" w:eastAsia="仿宋" w:cs="仿宋"/>
                <w:color w:val="000000"/>
                <w:sz w:val="24"/>
              </w:rPr>
            </w:pPr>
            <w:r>
              <w:rPr>
                <w:rFonts w:hint="eastAsia" w:ascii="仿宋" w:hAnsi="仿宋" w:eastAsia="仿宋" w:cs="仿宋"/>
                <w:color w:val="000000"/>
                <w:sz w:val="20"/>
                <w:szCs w:val="20"/>
              </w:rPr>
              <w:t>条</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sz w:val="20"/>
                <w:szCs w:val="20"/>
              </w:rPr>
              <w:t>　580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sz w:val="20"/>
                <w:szCs w:val="20"/>
              </w:rPr>
              <w:t>　　　　　4.政务微信公开政府信息数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仿宋" w:hAnsi="仿宋" w:eastAsia="仿宋" w:cs="仿宋"/>
                <w:color w:val="000000"/>
                <w:sz w:val="24"/>
              </w:rPr>
            </w:pPr>
            <w:r>
              <w:rPr>
                <w:rFonts w:hint="eastAsia" w:ascii="仿宋" w:hAnsi="仿宋" w:eastAsia="仿宋" w:cs="仿宋"/>
                <w:color w:val="000000"/>
                <w:sz w:val="20"/>
                <w:szCs w:val="20"/>
              </w:rPr>
              <w:t>条</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sz w:val="20"/>
                <w:szCs w:val="20"/>
              </w:rPr>
              <w:t>　1705</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sz w:val="20"/>
                <w:szCs w:val="20"/>
              </w:rPr>
              <w:t>　　　　　5.其他方式公开政府信息数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仿宋" w:hAnsi="仿宋" w:eastAsia="仿宋" w:cs="仿宋"/>
                <w:color w:val="000000"/>
                <w:sz w:val="24"/>
              </w:rPr>
            </w:pPr>
            <w:r>
              <w:rPr>
                <w:rFonts w:hint="eastAsia" w:ascii="仿宋" w:hAnsi="仿宋" w:eastAsia="仿宋" w:cs="仿宋"/>
                <w:color w:val="000000"/>
                <w:sz w:val="20"/>
                <w:szCs w:val="20"/>
              </w:rPr>
              <w:t>条</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sz w:val="20"/>
                <w:szCs w:val="20"/>
              </w:rPr>
              <w:t>　</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sz w:val="20"/>
                <w:szCs w:val="20"/>
              </w:rPr>
              <w:t>二、回应解读情况</w:t>
            </w:r>
          </w:p>
        </w:tc>
        <w:tc>
          <w:tcPr>
            <w:tcW w:w="1020" w:type="dxa"/>
            <w:tcBorders>
              <w:top w:val="outset" w:color="000000" w:sz="6" w:space="0"/>
              <w:left w:val="outset" w:color="000000" w:sz="6" w:space="0"/>
              <w:bottom w:val="outset" w:color="000000" w:sz="6" w:space="0"/>
              <w:right w:val="outset" w:color="000000" w:sz="6" w:space="0"/>
              <w:tr2bl w:val="single" w:color="auto" w:sz="4" w:space="0"/>
            </w:tcBorders>
            <w:shd w:val="clear" w:color="auto" w:fill="FFFFFF"/>
            <w:vAlign w:val="center"/>
          </w:tcPr>
          <w:p>
            <w:pPr>
              <w:pStyle w:val="5"/>
              <w:spacing w:before="0" w:beforeAutospacing="0" w:after="0" w:afterAutospacing="0" w:line="420" w:lineRule="atLeast"/>
              <w:ind w:firstLine="685"/>
              <w:jc w:val="center"/>
              <w:rPr>
                <w:rFonts w:ascii="仿宋" w:hAnsi="仿宋" w:eastAsia="仿宋" w:cs="仿宋"/>
                <w:color w:val="000000"/>
              </w:rPr>
            </w:pPr>
          </w:p>
        </w:tc>
        <w:tc>
          <w:tcPr>
            <w:tcW w:w="855" w:type="dxa"/>
            <w:tcBorders>
              <w:top w:val="single" w:color="auto" w:sz="0" w:space="0"/>
              <w:left w:val="single" w:color="auto" w:sz="0" w:space="0"/>
              <w:bottom w:val="single" w:color="auto" w:sz="0" w:space="0"/>
            </w:tcBorders>
            <w:shd w:val="clear" w:color="auto" w:fill="FFFFFF"/>
            <w:vAlign w:val="center"/>
          </w:tcPr>
          <w:p>
            <w:pPr>
              <w:rPr>
                <w:rFonts w:ascii="仿宋" w:hAnsi="仿宋" w:eastAsia="仿宋" w:cs="仿宋"/>
                <w:sz w:val="20"/>
                <w:szCs w:val="20"/>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before="0" w:beforeAutospacing="0" w:after="0" w:afterAutospacing="0" w:line="420" w:lineRule="atLeast"/>
              <w:ind w:firstLine="400" w:firstLineChars="200"/>
              <w:rPr>
                <w:rFonts w:ascii="仿宋" w:hAnsi="仿宋" w:eastAsia="仿宋" w:cs="仿宋"/>
                <w:color w:val="000000"/>
              </w:rPr>
            </w:pPr>
            <w:r>
              <w:rPr>
                <w:rFonts w:hint="eastAsia" w:ascii="仿宋" w:hAnsi="仿宋" w:eastAsia="仿宋" w:cs="仿宋"/>
                <w:color w:val="000000"/>
                <w:kern w:val="2"/>
                <w:sz w:val="20"/>
                <w:szCs w:val="20"/>
              </w:rPr>
              <w:t>（一）回应公众关注热点或重大舆情数</w:t>
            </w:r>
            <w:r>
              <w:rPr>
                <w:rFonts w:hint="eastAsia" w:ascii="仿宋" w:hAnsi="仿宋" w:eastAsia="仿宋" w:cs="仿宋"/>
                <w:color w:val="000000"/>
                <w:kern w:val="2"/>
                <w:sz w:val="20"/>
                <w:szCs w:val="20"/>
              </w:rPr>
              <w:br w:type="textWrapping"/>
            </w:r>
            <w:r>
              <w:rPr>
                <w:rFonts w:hint="eastAsia" w:ascii="仿宋" w:hAnsi="仿宋" w:eastAsia="仿宋" w:cs="仿宋"/>
                <w:color w:val="000000"/>
                <w:kern w:val="2"/>
                <w:sz w:val="20"/>
                <w:szCs w:val="20"/>
              </w:rPr>
              <w:t>　　　　 （不同方式回应同一热点或舆情计1次）</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仿宋" w:hAnsi="仿宋" w:eastAsia="仿宋" w:cs="仿宋"/>
                <w:color w:val="000000"/>
                <w:sz w:val="24"/>
              </w:rPr>
            </w:pPr>
            <w:r>
              <w:rPr>
                <w:rFonts w:hint="eastAsia" w:ascii="仿宋" w:hAnsi="仿宋" w:eastAsia="仿宋" w:cs="仿宋"/>
                <w:color w:val="000000"/>
                <w:sz w:val="20"/>
                <w:szCs w:val="20"/>
              </w:rPr>
              <w:t>次</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sz w:val="20"/>
                <w:szCs w:val="20"/>
              </w:rPr>
              <w:t>　</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sz w:val="20"/>
                <w:szCs w:val="20"/>
              </w:rPr>
              <w:t>　　（二）通过不同渠道和方式回应解读的情况</w:t>
            </w:r>
          </w:p>
        </w:tc>
        <w:tc>
          <w:tcPr>
            <w:tcW w:w="1020" w:type="dxa"/>
            <w:tcBorders>
              <w:top w:val="outset" w:color="000000" w:sz="6" w:space="0"/>
              <w:left w:val="outset" w:color="000000" w:sz="6" w:space="0"/>
              <w:bottom w:val="outset" w:color="000000" w:sz="6" w:space="0"/>
              <w:right w:val="outset" w:color="000000" w:sz="6" w:space="0"/>
              <w:tr2bl w:val="single" w:color="auto" w:sz="4" w:space="0"/>
            </w:tcBorders>
            <w:shd w:val="clear" w:color="auto" w:fill="FFFFFF"/>
            <w:vAlign w:val="center"/>
          </w:tcPr>
          <w:p>
            <w:pPr>
              <w:spacing w:line="420" w:lineRule="atLeast"/>
              <w:jc w:val="center"/>
              <w:rPr>
                <w:rFonts w:ascii="仿宋" w:hAnsi="仿宋" w:eastAsia="仿宋" w:cs="仿宋"/>
                <w:color w:val="000000"/>
                <w:sz w:val="24"/>
              </w:rPr>
            </w:pP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sz w:val="20"/>
                <w:szCs w:val="20"/>
              </w:rPr>
              <w:t>　</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sz w:val="20"/>
                <w:szCs w:val="20"/>
              </w:rPr>
              <w:t>　　　　　1.参加或举办新闻发布会总次数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仿宋" w:hAnsi="仿宋" w:eastAsia="仿宋" w:cs="仿宋"/>
                <w:color w:val="000000"/>
                <w:sz w:val="24"/>
              </w:rPr>
            </w:pPr>
            <w:r>
              <w:rPr>
                <w:rFonts w:hint="eastAsia" w:ascii="仿宋" w:hAnsi="仿宋" w:eastAsia="仿宋" w:cs="仿宋"/>
                <w:color w:val="000000"/>
                <w:sz w:val="20"/>
                <w:szCs w:val="20"/>
              </w:rPr>
              <w:t>次</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sz w:val="20"/>
                <w:szCs w:val="20"/>
              </w:rPr>
              <w:t>　2</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sz w:val="20"/>
                <w:szCs w:val="20"/>
              </w:rPr>
              <w:t>　　　　　　 其中：主要负责同志参加新闻发布会次数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仿宋" w:hAnsi="仿宋" w:eastAsia="仿宋" w:cs="仿宋"/>
                <w:color w:val="000000"/>
                <w:sz w:val="24"/>
              </w:rPr>
            </w:pPr>
            <w:r>
              <w:rPr>
                <w:rFonts w:hint="eastAsia" w:ascii="仿宋" w:hAnsi="仿宋" w:eastAsia="仿宋" w:cs="仿宋"/>
                <w:color w:val="000000"/>
                <w:sz w:val="20"/>
                <w:szCs w:val="20"/>
              </w:rPr>
              <w:t>次</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sz w:val="20"/>
                <w:szCs w:val="20"/>
              </w:rPr>
              <w:t>　</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sz w:val="20"/>
                <w:szCs w:val="20"/>
              </w:rPr>
              <w:t>　　　　　2.政府网站在线访谈次数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仿宋" w:hAnsi="仿宋" w:eastAsia="仿宋" w:cs="仿宋"/>
                <w:color w:val="000000"/>
                <w:sz w:val="24"/>
              </w:rPr>
            </w:pPr>
            <w:r>
              <w:rPr>
                <w:rFonts w:hint="eastAsia" w:ascii="仿宋" w:hAnsi="仿宋" w:eastAsia="仿宋" w:cs="仿宋"/>
                <w:color w:val="000000"/>
                <w:sz w:val="20"/>
                <w:szCs w:val="20"/>
              </w:rPr>
              <w:t>次</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sz w:val="20"/>
                <w:szCs w:val="20"/>
              </w:rPr>
              <w:t>　6</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sz w:val="20"/>
                <w:szCs w:val="20"/>
              </w:rPr>
              <w:t>　　　　　　 其中：主要负责同志参加政府网站在线访谈次数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仿宋" w:hAnsi="仿宋" w:eastAsia="仿宋" w:cs="仿宋"/>
                <w:color w:val="000000"/>
                <w:sz w:val="24"/>
              </w:rPr>
            </w:pPr>
            <w:r>
              <w:rPr>
                <w:rFonts w:hint="eastAsia" w:ascii="仿宋" w:hAnsi="仿宋" w:eastAsia="仿宋" w:cs="仿宋"/>
                <w:color w:val="000000"/>
                <w:sz w:val="20"/>
                <w:szCs w:val="20"/>
              </w:rPr>
              <w:t>次</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sz w:val="20"/>
                <w:szCs w:val="20"/>
              </w:rPr>
              <w:t>　</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sz w:val="20"/>
                <w:szCs w:val="20"/>
              </w:rPr>
              <w:t>　　　　　3.政策解读稿件发布数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仿宋" w:hAnsi="仿宋" w:eastAsia="仿宋" w:cs="仿宋"/>
                <w:color w:val="000000"/>
                <w:sz w:val="24"/>
              </w:rPr>
            </w:pPr>
            <w:r>
              <w:rPr>
                <w:rFonts w:hint="eastAsia" w:ascii="仿宋" w:hAnsi="仿宋" w:eastAsia="仿宋" w:cs="仿宋"/>
                <w:color w:val="000000"/>
                <w:sz w:val="20"/>
                <w:szCs w:val="20"/>
              </w:rPr>
              <w:t>篇</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sz w:val="20"/>
                <w:szCs w:val="20"/>
              </w:rPr>
              <w:t>　6</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sz w:val="20"/>
                <w:szCs w:val="20"/>
              </w:rPr>
              <w:t>　　　　　4.微博微信回应事件数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仿宋" w:hAnsi="仿宋" w:eastAsia="仿宋" w:cs="仿宋"/>
                <w:color w:val="000000"/>
                <w:sz w:val="24"/>
              </w:rPr>
            </w:pPr>
            <w:r>
              <w:rPr>
                <w:rFonts w:hint="eastAsia" w:ascii="仿宋" w:hAnsi="仿宋" w:eastAsia="仿宋" w:cs="仿宋"/>
                <w:color w:val="000000"/>
                <w:sz w:val="20"/>
                <w:szCs w:val="20"/>
              </w:rPr>
              <w:t>次</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sz w:val="20"/>
                <w:szCs w:val="20"/>
              </w:rPr>
              <w:t>　</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sz w:val="20"/>
                <w:szCs w:val="20"/>
              </w:rPr>
              <w:t>　　　　　5.其他方式回应事件数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仿宋" w:hAnsi="仿宋" w:eastAsia="仿宋" w:cs="仿宋"/>
                <w:color w:val="000000"/>
                <w:sz w:val="24"/>
              </w:rPr>
            </w:pPr>
            <w:r>
              <w:rPr>
                <w:rFonts w:hint="eastAsia" w:ascii="仿宋" w:hAnsi="仿宋" w:eastAsia="仿宋" w:cs="仿宋"/>
                <w:color w:val="000000"/>
                <w:sz w:val="20"/>
                <w:szCs w:val="20"/>
              </w:rPr>
              <w:t>次</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sz w:val="20"/>
                <w:szCs w:val="20"/>
              </w:rPr>
              <w:t>　</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sz w:val="20"/>
                <w:szCs w:val="20"/>
              </w:rPr>
              <w:t>三、依申请公开情况</w:t>
            </w:r>
          </w:p>
        </w:tc>
        <w:tc>
          <w:tcPr>
            <w:tcW w:w="1020" w:type="dxa"/>
            <w:tcBorders>
              <w:top w:val="outset" w:color="000000" w:sz="6" w:space="0"/>
              <w:left w:val="outset" w:color="000000" w:sz="6" w:space="0"/>
              <w:bottom w:val="outset" w:color="000000" w:sz="6" w:space="0"/>
              <w:right w:val="outset" w:color="000000" w:sz="6" w:space="0"/>
              <w:tr2bl w:val="single" w:color="auto" w:sz="4" w:space="0"/>
            </w:tcBorders>
            <w:shd w:val="clear" w:color="auto" w:fill="FFFFFF"/>
            <w:vAlign w:val="center"/>
          </w:tcPr>
          <w:p>
            <w:pPr>
              <w:pStyle w:val="5"/>
              <w:spacing w:before="0" w:beforeAutospacing="0" w:after="0" w:afterAutospacing="0" w:line="420" w:lineRule="atLeast"/>
              <w:ind w:firstLine="685"/>
              <w:jc w:val="center"/>
              <w:rPr>
                <w:rFonts w:ascii="仿宋" w:hAnsi="仿宋" w:eastAsia="仿宋" w:cs="仿宋"/>
                <w:color w:val="000000"/>
              </w:rPr>
            </w:pPr>
          </w:p>
        </w:tc>
        <w:tc>
          <w:tcPr>
            <w:tcW w:w="855" w:type="dxa"/>
            <w:tcBorders>
              <w:top w:val="single" w:color="auto" w:sz="0" w:space="0"/>
              <w:left w:val="single" w:color="auto" w:sz="0" w:space="0"/>
              <w:bottom w:val="single" w:color="auto" w:sz="0" w:space="0"/>
            </w:tcBorders>
            <w:shd w:val="clear" w:color="auto" w:fill="FFFFFF"/>
            <w:vAlign w:val="center"/>
          </w:tcPr>
          <w:p>
            <w:pPr>
              <w:rPr>
                <w:rFonts w:ascii="仿宋" w:hAnsi="仿宋" w:eastAsia="仿宋" w:cs="仿宋"/>
                <w:sz w:val="20"/>
                <w:szCs w:val="20"/>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sz w:val="20"/>
                <w:szCs w:val="20"/>
              </w:rPr>
              <w:t>　　（一）收到申请数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仿宋" w:hAnsi="仿宋" w:eastAsia="仿宋" w:cs="仿宋"/>
                <w:color w:val="000000"/>
                <w:sz w:val="24"/>
              </w:rPr>
            </w:pPr>
            <w:r>
              <w:rPr>
                <w:rFonts w:hint="eastAsia" w:ascii="仿宋" w:hAnsi="仿宋" w:eastAsia="仿宋" w:cs="仿宋"/>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sz w:val="20"/>
                <w:szCs w:val="20"/>
              </w:rPr>
              <w:t>　20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sz w:val="20"/>
                <w:szCs w:val="20"/>
              </w:rPr>
              <w:t>　　　　　1.当面申请数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仿宋" w:hAnsi="仿宋" w:eastAsia="仿宋" w:cs="仿宋"/>
                <w:color w:val="000000"/>
                <w:sz w:val="24"/>
              </w:rPr>
            </w:pPr>
            <w:r>
              <w:rPr>
                <w:rFonts w:hint="eastAsia" w:ascii="仿宋" w:hAnsi="仿宋" w:eastAsia="仿宋" w:cs="仿宋"/>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sz w:val="20"/>
                <w:szCs w:val="20"/>
              </w:rPr>
              <w:t>　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sz w:val="20"/>
                <w:szCs w:val="20"/>
              </w:rPr>
              <w:t>　　　　　2.传真申请数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仿宋" w:hAnsi="仿宋" w:eastAsia="仿宋" w:cs="仿宋"/>
                <w:color w:val="000000"/>
                <w:sz w:val="24"/>
              </w:rPr>
            </w:pPr>
            <w:r>
              <w:rPr>
                <w:rFonts w:hint="eastAsia" w:ascii="仿宋" w:hAnsi="仿宋" w:eastAsia="仿宋" w:cs="仿宋"/>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sz w:val="20"/>
                <w:szCs w:val="20"/>
              </w:rPr>
              <w:t>　</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single" w:color="auto" w:sz="4"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sz w:val="20"/>
                <w:szCs w:val="20"/>
              </w:rPr>
              <w:t>　　　　　3.网络申请数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仿宋" w:hAnsi="仿宋" w:eastAsia="仿宋" w:cs="仿宋"/>
                <w:color w:val="000000"/>
                <w:sz w:val="24"/>
              </w:rPr>
            </w:pPr>
            <w:r>
              <w:rPr>
                <w:rFonts w:hint="eastAsia" w:ascii="仿宋" w:hAnsi="仿宋" w:eastAsia="仿宋" w:cs="仿宋"/>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sz w:val="20"/>
                <w:szCs w:val="20"/>
              </w:rPr>
              <w:t>　14</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400" w:hRule="exact"/>
          <w:jc w:val="center"/>
        </w:trPr>
        <w:tc>
          <w:tcPr>
            <w:tcW w:w="7575" w:type="dxa"/>
            <w:tcBorders>
              <w:top w:val="single" w:color="auto" w:sz="4" w:space="0"/>
              <w:left w:val="single" w:color="auto" w:sz="4" w:space="0"/>
              <w:bottom w:val="single" w:color="auto" w:sz="4"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sz w:val="20"/>
                <w:szCs w:val="20"/>
              </w:rPr>
              <w:t>　　　　　4.信函申请数</w:t>
            </w:r>
          </w:p>
        </w:tc>
        <w:tc>
          <w:tcPr>
            <w:tcW w:w="1020" w:type="dxa"/>
            <w:tcBorders>
              <w:top w:val="outset" w:color="000000" w:sz="6"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仿宋" w:hAnsi="仿宋" w:eastAsia="仿宋" w:cs="仿宋"/>
                <w:color w:val="000000"/>
                <w:sz w:val="24"/>
              </w:rPr>
            </w:pPr>
            <w:r>
              <w:rPr>
                <w:rFonts w:hint="eastAsia" w:ascii="仿宋" w:hAnsi="仿宋" w:eastAsia="仿宋" w:cs="仿宋"/>
                <w:color w:val="000000"/>
                <w:sz w:val="20"/>
                <w:szCs w:val="20"/>
              </w:rPr>
              <w:t>件</w:t>
            </w:r>
          </w:p>
        </w:tc>
        <w:tc>
          <w:tcPr>
            <w:tcW w:w="855" w:type="dxa"/>
            <w:tcBorders>
              <w:top w:val="outset" w:color="000000" w:sz="6" w:space="0"/>
              <w:left w:val="outset" w:color="000000" w:sz="6" w:space="0"/>
              <w:bottom w:val="single" w:color="auto" w:sz="4"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sz w:val="20"/>
                <w:szCs w:val="20"/>
              </w:rPr>
              <w:t>　5</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single" w:color="auto" w:sz="4" w:space="0"/>
              <w:left w:val="single" w:color="auto" w:sz="4" w:space="0"/>
              <w:bottom w:val="outset" w:color="000000" w:sz="6" w:space="0"/>
              <w:right w:val="outset" w:color="000000" w:sz="6" w:space="0"/>
            </w:tcBorders>
            <w:shd w:val="clear" w:color="auto" w:fill="FFFFFF"/>
            <w:vAlign w:val="center"/>
          </w:tcPr>
          <w:p>
            <w:pPr>
              <w:spacing w:line="420" w:lineRule="atLeast"/>
              <w:rPr>
                <w:rFonts w:ascii="仿宋" w:hAnsi="仿宋" w:eastAsia="仿宋" w:cs="仿宋"/>
                <w:color w:val="000000"/>
                <w:sz w:val="20"/>
                <w:szCs w:val="20"/>
              </w:rPr>
            </w:pPr>
            <w:r>
              <w:rPr>
                <w:rFonts w:hint="eastAsia" w:ascii="仿宋" w:hAnsi="仿宋" w:eastAsia="仿宋" w:cs="仿宋"/>
                <w:color w:val="000000"/>
                <w:sz w:val="20"/>
                <w:szCs w:val="20"/>
              </w:rPr>
              <w:t xml:space="preserve">          5.其他形式</w:t>
            </w:r>
          </w:p>
        </w:tc>
        <w:tc>
          <w:tcPr>
            <w:tcW w:w="1020" w:type="dxa"/>
            <w:tcBorders>
              <w:top w:val="single" w:color="auto" w:sz="4"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仿宋" w:hAnsi="仿宋" w:eastAsia="仿宋" w:cs="仿宋"/>
                <w:color w:val="000000"/>
                <w:sz w:val="20"/>
                <w:szCs w:val="20"/>
              </w:rPr>
            </w:pPr>
            <w:r>
              <w:rPr>
                <w:rFonts w:hint="eastAsia" w:ascii="仿宋" w:hAnsi="仿宋" w:eastAsia="仿宋" w:cs="仿宋"/>
                <w:color w:val="000000"/>
                <w:sz w:val="20"/>
                <w:szCs w:val="20"/>
              </w:rPr>
              <w:t>件</w:t>
            </w:r>
          </w:p>
        </w:tc>
        <w:tc>
          <w:tcPr>
            <w:tcW w:w="855" w:type="dxa"/>
            <w:tcBorders>
              <w:top w:val="single" w:color="auto" w:sz="4" w:space="0"/>
              <w:left w:val="outset" w:color="000000" w:sz="6" w:space="0"/>
              <w:bottom w:val="outset" w:color="000000" w:sz="6" w:space="0"/>
              <w:right w:val="outset" w:color="000000" w:sz="6" w:space="0"/>
            </w:tcBorders>
            <w:shd w:val="clear" w:color="auto" w:fill="FFFFFF"/>
            <w:vAlign w:val="center"/>
          </w:tcPr>
          <w:p>
            <w:pPr>
              <w:spacing w:line="420" w:lineRule="atLeast"/>
              <w:rPr>
                <w:rFonts w:ascii="仿宋" w:hAnsi="仿宋" w:eastAsia="仿宋" w:cs="仿宋"/>
                <w:color w:val="000000"/>
                <w:sz w:val="20"/>
                <w:szCs w:val="20"/>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sz w:val="20"/>
                <w:szCs w:val="20"/>
              </w:rPr>
              <w:t>　　（二）申请办结数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仿宋" w:hAnsi="仿宋" w:eastAsia="仿宋" w:cs="仿宋"/>
                <w:color w:val="000000"/>
                <w:sz w:val="24"/>
              </w:rPr>
            </w:pPr>
            <w:r>
              <w:rPr>
                <w:rFonts w:hint="eastAsia" w:ascii="仿宋" w:hAnsi="仿宋" w:eastAsia="仿宋" w:cs="仿宋"/>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sz w:val="20"/>
                <w:szCs w:val="20"/>
              </w:rPr>
              <w:t>　20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sz w:val="20"/>
                <w:szCs w:val="20"/>
              </w:rPr>
              <w:t>　　　　　1.按时办结数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仿宋" w:hAnsi="仿宋" w:eastAsia="仿宋" w:cs="仿宋"/>
                <w:color w:val="000000"/>
                <w:sz w:val="24"/>
              </w:rPr>
            </w:pPr>
            <w:r>
              <w:rPr>
                <w:rFonts w:hint="eastAsia" w:ascii="仿宋" w:hAnsi="仿宋" w:eastAsia="仿宋" w:cs="仿宋"/>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sz w:val="20"/>
                <w:szCs w:val="20"/>
              </w:rPr>
              <w:t>　20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sz w:val="20"/>
                <w:szCs w:val="20"/>
              </w:rPr>
              <w:t>　　　　　2.延期办结数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仿宋" w:hAnsi="仿宋" w:eastAsia="仿宋" w:cs="仿宋"/>
                <w:color w:val="000000"/>
                <w:sz w:val="24"/>
              </w:rPr>
            </w:pPr>
            <w:r>
              <w:rPr>
                <w:rFonts w:hint="eastAsia" w:ascii="仿宋" w:hAnsi="仿宋" w:eastAsia="仿宋" w:cs="仿宋"/>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sz w:val="20"/>
                <w:szCs w:val="20"/>
              </w:rPr>
              <w:t>　</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sz w:val="20"/>
                <w:szCs w:val="20"/>
              </w:rPr>
              <w:t>　　（三）申请答复数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仿宋" w:hAnsi="仿宋" w:eastAsia="仿宋" w:cs="仿宋"/>
                <w:color w:val="000000"/>
                <w:sz w:val="24"/>
              </w:rPr>
            </w:pPr>
            <w:r>
              <w:rPr>
                <w:rFonts w:hint="eastAsia" w:ascii="仿宋" w:hAnsi="仿宋" w:eastAsia="仿宋" w:cs="仿宋"/>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sz w:val="20"/>
                <w:szCs w:val="20"/>
              </w:rPr>
              <w:t>　20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sz w:val="20"/>
                <w:szCs w:val="20"/>
              </w:rPr>
              <w:t>　　　　　1.属于已主动公开范围数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仿宋" w:hAnsi="仿宋" w:eastAsia="仿宋" w:cs="仿宋"/>
                <w:color w:val="000000"/>
                <w:sz w:val="24"/>
              </w:rPr>
            </w:pPr>
            <w:r>
              <w:rPr>
                <w:rFonts w:hint="eastAsia" w:ascii="仿宋" w:hAnsi="仿宋" w:eastAsia="仿宋" w:cs="仿宋"/>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sz w:val="20"/>
                <w:szCs w:val="20"/>
              </w:rPr>
              <w:t>　4</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sz w:val="20"/>
                <w:szCs w:val="20"/>
              </w:rPr>
              <w:t>　　　　　2.同意公开答复数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仿宋" w:hAnsi="仿宋" w:eastAsia="仿宋" w:cs="仿宋"/>
                <w:color w:val="000000"/>
                <w:sz w:val="24"/>
              </w:rPr>
            </w:pPr>
            <w:r>
              <w:rPr>
                <w:rFonts w:hint="eastAsia" w:ascii="仿宋" w:hAnsi="仿宋" w:eastAsia="仿宋" w:cs="仿宋"/>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sz w:val="20"/>
                <w:szCs w:val="20"/>
              </w:rPr>
              <w:t>　3</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sz w:val="20"/>
                <w:szCs w:val="20"/>
              </w:rPr>
              <w:t>　　　　　3.同意部分公开答复数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仿宋" w:hAnsi="仿宋" w:eastAsia="仿宋" w:cs="仿宋"/>
                <w:color w:val="000000"/>
                <w:sz w:val="24"/>
              </w:rPr>
            </w:pPr>
            <w:r>
              <w:rPr>
                <w:rFonts w:hint="eastAsia" w:ascii="仿宋" w:hAnsi="仿宋" w:eastAsia="仿宋" w:cs="仿宋"/>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sz w:val="20"/>
                <w:szCs w:val="20"/>
              </w:rPr>
              <w:t>　</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sz w:val="20"/>
                <w:szCs w:val="20"/>
              </w:rPr>
              <w:t>　　　　　4.不同意公开答复数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仿宋" w:hAnsi="仿宋" w:eastAsia="仿宋" w:cs="仿宋"/>
                <w:color w:val="000000"/>
                <w:sz w:val="24"/>
              </w:rPr>
            </w:pPr>
            <w:r>
              <w:rPr>
                <w:rFonts w:hint="eastAsia" w:ascii="仿宋" w:hAnsi="仿宋" w:eastAsia="仿宋" w:cs="仿宋"/>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sz w:val="20"/>
                <w:szCs w:val="20"/>
              </w:rPr>
              <w:t>　2</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sz w:val="20"/>
                <w:szCs w:val="20"/>
              </w:rPr>
              <w:t>　　　　　 　其中：涉及国家秘密</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仿宋" w:hAnsi="仿宋" w:eastAsia="仿宋" w:cs="仿宋"/>
                <w:color w:val="000000"/>
                <w:sz w:val="24"/>
              </w:rPr>
            </w:pPr>
            <w:r>
              <w:rPr>
                <w:rFonts w:hint="eastAsia" w:ascii="仿宋" w:hAnsi="仿宋" w:eastAsia="仿宋" w:cs="仿宋"/>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sz w:val="20"/>
                <w:szCs w:val="20"/>
              </w:rPr>
              <w:t>　</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sz w:val="20"/>
                <w:szCs w:val="20"/>
              </w:rPr>
              <w:t>　　　　　　　　　 涉及商业秘密</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仿宋" w:hAnsi="仿宋" w:eastAsia="仿宋" w:cs="仿宋"/>
                <w:color w:val="000000"/>
                <w:sz w:val="24"/>
              </w:rPr>
            </w:pPr>
            <w:r>
              <w:rPr>
                <w:rFonts w:hint="eastAsia" w:ascii="仿宋" w:hAnsi="仿宋" w:eastAsia="仿宋" w:cs="仿宋"/>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sz w:val="20"/>
                <w:szCs w:val="20"/>
              </w:rPr>
              <w:t>　</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sz w:val="20"/>
                <w:szCs w:val="20"/>
              </w:rPr>
              <w:t>　　　　　　　　　 涉及个人隐私</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仿宋" w:hAnsi="仿宋" w:eastAsia="仿宋" w:cs="仿宋"/>
                <w:color w:val="000000"/>
                <w:sz w:val="24"/>
              </w:rPr>
            </w:pPr>
            <w:r>
              <w:rPr>
                <w:rFonts w:hint="eastAsia" w:ascii="仿宋" w:hAnsi="仿宋" w:eastAsia="仿宋" w:cs="仿宋"/>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sz w:val="20"/>
                <w:szCs w:val="20"/>
              </w:rPr>
              <w:t>　</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sz w:val="20"/>
                <w:szCs w:val="20"/>
              </w:rPr>
              <w:t>　　　　　　　　　 危及国家安全、公共安全、经济安全和社会稳定</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仿宋" w:hAnsi="仿宋" w:eastAsia="仿宋" w:cs="仿宋"/>
                <w:color w:val="000000"/>
                <w:sz w:val="24"/>
              </w:rPr>
            </w:pPr>
            <w:r>
              <w:rPr>
                <w:rFonts w:hint="eastAsia" w:ascii="仿宋" w:hAnsi="仿宋" w:eastAsia="仿宋" w:cs="仿宋"/>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sz w:val="20"/>
                <w:szCs w:val="20"/>
              </w:rPr>
              <w:t>　</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sz w:val="20"/>
                <w:szCs w:val="20"/>
              </w:rPr>
              <w:t>　　　　　　　　　 不是《条例》所指政府信息</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仿宋" w:hAnsi="仿宋" w:eastAsia="仿宋" w:cs="仿宋"/>
                <w:color w:val="000000"/>
                <w:sz w:val="24"/>
              </w:rPr>
            </w:pPr>
            <w:r>
              <w:rPr>
                <w:rFonts w:hint="eastAsia" w:ascii="仿宋" w:hAnsi="仿宋" w:eastAsia="仿宋" w:cs="仿宋"/>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sz w:val="20"/>
                <w:szCs w:val="20"/>
              </w:rPr>
              <w:t>　2</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sz w:val="20"/>
                <w:szCs w:val="20"/>
              </w:rPr>
              <w:t>　　　　　　　　　 法律法规规定的其他情形</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仿宋" w:hAnsi="仿宋" w:eastAsia="仿宋" w:cs="仿宋"/>
                <w:color w:val="000000"/>
                <w:sz w:val="24"/>
              </w:rPr>
            </w:pPr>
            <w:r>
              <w:rPr>
                <w:rFonts w:hint="eastAsia" w:ascii="仿宋" w:hAnsi="仿宋" w:eastAsia="仿宋" w:cs="仿宋"/>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sz w:val="20"/>
                <w:szCs w:val="20"/>
              </w:rPr>
              <w:t>　</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sz w:val="20"/>
                <w:szCs w:val="20"/>
              </w:rPr>
              <w:t>　　　　　5.不属于本行政机关公开数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仿宋" w:hAnsi="仿宋" w:eastAsia="仿宋" w:cs="仿宋"/>
                <w:color w:val="000000"/>
                <w:sz w:val="24"/>
              </w:rPr>
            </w:pPr>
            <w:r>
              <w:rPr>
                <w:rFonts w:hint="eastAsia" w:ascii="仿宋" w:hAnsi="仿宋" w:eastAsia="仿宋" w:cs="仿宋"/>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sz w:val="20"/>
                <w:szCs w:val="20"/>
              </w:rPr>
              <w:t>　10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sz w:val="20"/>
                <w:szCs w:val="20"/>
              </w:rPr>
              <w:t>　　　　　6.申请信息不存在数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仿宋" w:hAnsi="仿宋" w:eastAsia="仿宋" w:cs="仿宋"/>
                <w:color w:val="000000"/>
                <w:sz w:val="24"/>
              </w:rPr>
            </w:pPr>
            <w:r>
              <w:rPr>
                <w:rFonts w:hint="eastAsia" w:ascii="仿宋" w:hAnsi="仿宋" w:eastAsia="仿宋" w:cs="仿宋"/>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sz w:val="20"/>
                <w:szCs w:val="20"/>
              </w:rPr>
              <w:t>　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sz w:val="20"/>
                <w:szCs w:val="20"/>
              </w:rPr>
              <w:t>　　　　　7.告知作出更改补充数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仿宋" w:hAnsi="仿宋" w:eastAsia="仿宋" w:cs="仿宋"/>
                <w:color w:val="000000"/>
                <w:sz w:val="24"/>
              </w:rPr>
            </w:pPr>
            <w:r>
              <w:rPr>
                <w:rFonts w:hint="eastAsia" w:ascii="仿宋" w:hAnsi="仿宋" w:eastAsia="仿宋" w:cs="仿宋"/>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sz w:val="20"/>
                <w:szCs w:val="20"/>
              </w:rPr>
              <w:t>　</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sz w:val="20"/>
                <w:szCs w:val="20"/>
              </w:rPr>
              <w:t>　　　　　8.告知通过其他途径办理数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仿宋" w:hAnsi="仿宋" w:eastAsia="仿宋" w:cs="仿宋"/>
                <w:color w:val="000000"/>
                <w:sz w:val="24"/>
              </w:rPr>
            </w:pPr>
            <w:r>
              <w:rPr>
                <w:rFonts w:hint="eastAsia" w:ascii="仿宋" w:hAnsi="仿宋" w:eastAsia="仿宋" w:cs="仿宋"/>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sz w:val="20"/>
                <w:szCs w:val="20"/>
              </w:rPr>
              <w:t>　</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sz w:val="20"/>
                <w:szCs w:val="20"/>
              </w:rPr>
              <w:t>四、行政复议数量</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仿宋" w:hAnsi="仿宋" w:eastAsia="仿宋" w:cs="仿宋"/>
                <w:color w:val="000000"/>
                <w:sz w:val="24"/>
              </w:rPr>
            </w:pPr>
            <w:r>
              <w:rPr>
                <w:rFonts w:hint="eastAsia" w:ascii="仿宋" w:hAnsi="仿宋" w:eastAsia="仿宋" w:cs="仿宋"/>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sz w:val="20"/>
                <w:szCs w:val="20"/>
              </w:rPr>
              <w:t>　3</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sz w:val="20"/>
                <w:szCs w:val="20"/>
              </w:rPr>
              <w:t>　　（一）维持具体行政行为数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仿宋" w:hAnsi="仿宋" w:eastAsia="仿宋" w:cs="仿宋"/>
                <w:color w:val="000000"/>
                <w:sz w:val="24"/>
              </w:rPr>
            </w:pPr>
            <w:r>
              <w:rPr>
                <w:rFonts w:hint="eastAsia" w:ascii="仿宋" w:hAnsi="仿宋" w:eastAsia="仿宋" w:cs="仿宋"/>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sz w:val="20"/>
                <w:szCs w:val="20"/>
              </w:rPr>
              <w:t>　3</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sz w:val="20"/>
                <w:szCs w:val="20"/>
              </w:rPr>
              <w:t>　　（二）被依法纠错数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仿宋" w:hAnsi="仿宋" w:eastAsia="仿宋" w:cs="仿宋"/>
                <w:color w:val="000000"/>
                <w:sz w:val="24"/>
              </w:rPr>
            </w:pPr>
            <w:r>
              <w:rPr>
                <w:rFonts w:hint="eastAsia" w:ascii="仿宋" w:hAnsi="仿宋" w:eastAsia="仿宋" w:cs="仿宋"/>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sz w:val="20"/>
                <w:szCs w:val="20"/>
              </w:rPr>
              <w:t>　</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sz w:val="20"/>
                <w:szCs w:val="20"/>
              </w:rPr>
              <w:t>　　（三）其他情形数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仿宋" w:hAnsi="仿宋" w:eastAsia="仿宋" w:cs="仿宋"/>
                <w:color w:val="000000"/>
                <w:sz w:val="24"/>
              </w:rPr>
            </w:pPr>
            <w:r>
              <w:rPr>
                <w:rFonts w:hint="eastAsia" w:ascii="仿宋" w:hAnsi="仿宋" w:eastAsia="仿宋" w:cs="仿宋"/>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sz w:val="20"/>
                <w:szCs w:val="20"/>
              </w:rPr>
              <w:t>　</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sz w:val="20"/>
                <w:szCs w:val="20"/>
              </w:rPr>
              <w:t>五、行政诉讼数量</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仿宋" w:hAnsi="仿宋" w:eastAsia="仿宋" w:cs="仿宋"/>
                <w:color w:val="000000"/>
                <w:sz w:val="24"/>
              </w:rPr>
            </w:pPr>
            <w:r>
              <w:rPr>
                <w:rFonts w:hint="eastAsia" w:ascii="仿宋" w:hAnsi="仿宋" w:eastAsia="仿宋" w:cs="仿宋"/>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sz w:val="20"/>
                <w:szCs w:val="20"/>
              </w:rPr>
              <w:t>　</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sz w:val="20"/>
                <w:szCs w:val="20"/>
              </w:rPr>
              <w:t>　　（一）维持具体行政行为或者驳回原告诉讼请求数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仿宋" w:hAnsi="仿宋" w:eastAsia="仿宋" w:cs="仿宋"/>
                <w:color w:val="000000"/>
                <w:sz w:val="24"/>
              </w:rPr>
            </w:pPr>
            <w:r>
              <w:rPr>
                <w:rFonts w:hint="eastAsia" w:ascii="仿宋" w:hAnsi="仿宋" w:eastAsia="仿宋" w:cs="仿宋"/>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sz w:val="20"/>
                <w:szCs w:val="20"/>
              </w:rPr>
              <w:t>　</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sz w:val="20"/>
                <w:szCs w:val="20"/>
              </w:rPr>
              <w:t>　　（二）被依法纠错数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仿宋" w:hAnsi="仿宋" w:eastAsia="仿宋" w:cs="仿宋"/>
                <w:color w:val="000000"/>
                <w:sz w:val="24"/>
              </w:rPr>
            </w:pPr>
            <w:r>
              <w:rPr>
                <w:rFonts w:hint="eastAsia" w:ascii="仿宋" w:hAnsi="仿宋" w:eastAsia="仿宋" w:cs="仿宋"/>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sz w:val="20"/>
                <w:szCs w:val="20"/>
              </w:rPr>
              <w:t>　</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sz w:val="20"/>
                <w:szCs w:val="20"/>
              </w:rPr>
              <w:t>　　（三）其他情形数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仿宋" w:hAnsi="仿宋" w:eastAsia="仿宋" w:cs="仿宋"/>
                <w:color w:val="000000"/>
                <w:sz w:val="24"/>
              </w:rPr>
            </w:pPr>
            <w:r>
              <w:rPr>
                <w:rFonts w:hint="eastAsia" w:ascii="仿宋" w:hAnsi="仿宋" w:eastAsia="仿宋" w:cs="仿宋"/>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sz w:val="20"/>
                <w:szCs w:val="20"/>
              </w:rPr>
              <w:t>　</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single" w:color="auto" w:sz="4"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sz w:val="20"/>
                <w:szCs w:val="20"/>
              </w:rPr>
              <w:t>六、被举报投诉数量</w:t>
            </w:r>
          </w:p>
        </w:tc>
        <w:tc>
          <w:tcPr>
            <w:tcW w:w="1020" w:type="dxa"/>
            <w:tcBorders>
              <w:top w:val="outset" w:color="000000" w:sz="6"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仿宋" w:hAnsi="仿宋" w:eastAsia="仿宋" w:cs="仿宋"/>
                <w:color w:val="000000"/>
                <w:sz w:val="24"/>
              </w:rPr>
            </w:pPr>
            <w:r>
              <w:rPr>
                <w:rFonts w:hint="eastAsia" w:ascii="仿宋" w:hAnsi="仿宋" w:eastAsia="仿宋" w:cs="仿宋"/>
                <w:color w:val="000000"/>
                <w:sz w:val="20"/>
                <w:szCs w:val="20"/>
              </w:rPr>
              <w:t>件</w:t>
            </w:r>
          </w:p>
        </w:tc>
        <w:tc>
          <w:tcPr>
            <w:tcW w:w="855" w:type="dxa"/>
            <w:tcBorders>
              <w:top w:val="outset" w:color="000000" w:sz="6" w:space="0"/>
              <w:left w:val="outset" w:color="000000" w:sz="6" w:space="0"/>
              <w:bottom w:val="single" w:color="auto" w:sz="4"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sz w:val="20"/>
                <w:szCs w:val="20"/>
              </w:rPr>
              <w:t>　</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sz w:val="20"/>
                <w:szCs w:val="20"/>
              </w:rPr>
              <w:t>　　（一）维持具体行政行为数</w:t>
            </w:r>
          </w:p>
        </w:tc>
        <w:tc>
          <w:tcPr>
            <w:tcW w:w="1020"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仿宋" w:hAnsi="仿宋" w:eastAsia="仿宋" w:cs="仿宋"/>
                <w:color w:val="000000"/>
                <w:sz w:val="20"/>
                <w:szCs w:val="20"/>
              </w:rPr>
            </w:pPr>
            <w:r>
              <w:rPr>
                <w:rFonts w:hint="eastAsia" w:ascii="仿宋" w:hAnsi="仿宋" w:eastAsia="仿宋" w:cs="仿宋"/>
                <w:color w:val="000000"/>
                <w:sz w:val="20"/>
                <w:szCs w:val="20"/>
              </w:rPr>
              <w:t>件</w:t>
            </w:r>
          </w:p>
        </w:tc>
        <w:tc>
          <w:tcPr>
            <w:tcW w:w="855"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rPr>
                <w:rFonts w:ascii="仿宋" w:hAnsi="仿宋" w:eastAsia="仿宋" w:cs="仿宋"/>
                <w:color w:val="000000"/>
                <w:sz w:val="20"/>
                <w:szCs w:val="20"/>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sz w:val="20"/>
                <w:szCs w:val="20"/>
              </w:rPr>
              <w:t>　　（二）被纠错数</w:t>
            </w:r>
          </w:p>
        </w:tc>
        <w:tc>
          <w:tcPr>
            <w:tcW w:w="1020"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仿宋" w:hAnsi="仿宋" w:eastAsia="仿宋" w:cs="仿宋"/>
                <w:color w:val="000000"/>
                <w:sz w:val="20"/>
                <w:szCs w:val="20"/>
              </w:rPr>
            </w:pPr>
            <w:r>
              <w:rPr>
                <w:rFonts w:hint="eastAsia" w:ascii="仿宋" w:hAnsi="仿宋" w:eastAsia="仿宋" w:cs="仿宋"/>
                <w:color w:val="000000"/>
                <w:sz w:val="20"/>
                <w:szCs w:val="20"/>
              </w:rPr>
              <w:t>件</w:t>
            </w:r>
          </w:p>
        </w:tc>
        <w:tc>
          <w:tcPr>
            <w:tcW w:w="855"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rPr>
                <w:rFonts w:ascii="仿宋" w:hAnsi="仿宋" w:eastAsia="仿宋" w:cs="仿宋"/>
                <w:color w:val="000000"/>
                <w:sz w:val="20"/>
                <w:szCs w:val="20"/>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sz w:val="20"/>
                <w:szCs w:val="20"/>
              </w:rPr>
              <w:t>　　（三）其他情形数</w:t>
            </w:r>
          </w:p>
        </w:tc>
        <w:tc>
          <w:tcPr>
            <w:tcW w:w="1020"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仿宋" w:hAnsi="仿宋" w:eastAsia="仿宋" w:cs="仿宋"/>
                <w:color w:val="000000"/>
                <w:sz w:val="20"/>
                <w:szCs w:val="20"/>
              </w:rPr>
            </w:pPr>
            <w:r>
              <w:rPr>
                <w:rFonts w:hint="eastAsia" w:ascii="仿宋" w:hAnsi="仿宋" w:eastAsia="仿宋" w:cs="仿宋"/>
                <w:color w:val="000000"/>
                <w:sz w:val="20"/>
                <w:szCs w:val="20"/>
              </w:rPr>
              <w:t>件</w:t>
            </w:r>
          </w:p>
        </w:tc>
        <w:tc>
          <w:tcPr>
            <w:tcW w:w="855"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rPr>
                <w:rFonts w:ascii="仿宋" w:hAnsi="仿宋" w:eastAsia="仿宋" w:cs="仿宋"/>
                <w:color w:val="000000"/>
                <w:sz w:val="20"/>
                <w:szCs w:val="20"/>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400" w:hRule="exact"/>
          <w:jc w:val="center"/>
        </w:trPr>
        <w:tc>
          <w:tcPr>
            <w:tcW w:w="7575"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rPr>
                <w:rFonts w:ascii="仿宋" w:hAnsi="仿宋" w:eastAsia="仿宋" w:cs="仿宋"/>
                <w:bCs/>
                <w:color w:val="000000"/>
                <w:sz w:val="20"/>
                <w:szCs w:val="20"/>
              </w:rPr>
            </w:pPr>
            <w:r>
              <w:rPr>
                <w:rFonts w:hint="eastAsia" w:ascii="仿宋" w:hAnsi="仿宋" w:eastAsia="仿宋" w:cs="仿宋"/>
                <w:bCs/>
                <w:color w:val="000000"/>
                <w:sz w:val="20"/>
                <w:szCs w:val="20"/>
              </w:rPr>
              <w:t>七、向图书馆、档案馆等查阅场所报送信息数</w:t>
            </w:r>
          </w:p>
          <w:p>
            <w:pPr>
              <w:spacing w:line="420" w:lineRule="atLeast"/>
              <w:rPr>
                <w:rFonts w:ascii="仿宋" w:hAnsi="仿宋" w:eastAsia="仿宋" w:cs="仿宋"/>
                <w:color w:val="000000"/>
                <w:sz w:val="20"/>
                <w:szCs w:val="20"/>
              </w:rPr>
            </w:pPr>
          </w:p>
        </w:tc>
        <w:tc>
          <w:tcPr>
            <w:tcW w:w="1020"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仿宋" w:hAnsi="仿宋" w:eastAsia="仿宋" w:cs="仿宋"/>
                <w:color w:val="000000"/>
                <w:sz w:val="20"/>
                <w:szCs w:val="20"/>
              </w:rPr>
            </w:pPr>
            <w:r>
              <w:rPr>
                <w:rFonts w:hint="eastAsia" w:ascii="仿宋" w:hAnsi="仿宋" w:eastAsia="仿宋" w:cs="仿宋"/>
                <w:color w:val="000000"/>
                <w:sz w:val="20"/>
                <w:szCs w:val="20"/>
              </w:rPr>
              <w:t>条</w:t>
            </w:r>
          </w:p>
        </w:tc>
        <w:tc>
          <w:tcPr>
            <w:tcW w:w="855"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rPr>
                <w:rFonts w:ascii="仿宋" w:hAnsi="仿宋" w:eastAsia="仿宋" w:cs="仿宋"/>
                <w:color w:val="000000"/>
                <w:sz w:val="20"/>
                <w:szCs w:val="20"/>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sz w:val="20"/>
                <w:szCs w:val="20"/>
              </w:rPr>
              <w:t>　　（一）纸质文件数</w:t>
            </w:r>
          </w:p>
        </w:tc>
        <w:tc>
          <w:tcPr>
            <w:tcW w:w="1020"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仿宋" w:hAnsi="仿宋" w:eastAsia="仿宋" w:cs="仿宋"/>
                <w:color w:val="000000"/>
                <w:sz w:val="20"/>
                <w:szCs w:val="20"/>
              </w:rPr>
            </w:pPr>
            <w:r>
              <w:rPr>
                <w:rFonts w:hint="eastAsia" w:ascii="仿宋" w:hAnsi="仿宋" w:eastAsia="仿宋" w:cs="仿宋"/>
                <w:color w:val="000000"/>
                <w:sz w:val="20"/>
                <w:szCs w:val="20"/>
              </w:rPr>
              <w:t>条</w:t>
            </w:r>
          </w:p>
        </w:tc>
        <w:tc>
          <w:tcPr>
            <w:tcW w:w="855"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rPr>
                <w:rFonts w:ascii="仿宋" w:hAnsi="仿宋" w:eastAsia="仿宋" w:cs="仿宋"/>
                <w:color w:val="000000"/>
                <w:sz w:val="20"/>
                <w:szCs w:val="20"/>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single" w:color="auto" w:sz="4" w:space="0"/>
              <w:left w:val="outset" w:color="000000" w:sz="6" w:space="0"/>
              <w:bottom w:val="outset" w:color="000000" w:sz="6"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sz w:val="20"/>
                <w:szCs w:val="20"/>
              </w:rPr>
              <w:t>　　（二）电子文件数</w:t>
            </w:r>
          </w:p>
        </w:tc>
        <w:tc>
          <w:tcPr>
            <w:tcW w:w="1020" w:type="dxa"/>
            <w:tcBorders>
              <w:top w:val="single" w:color="auto" w:sz="4"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仿宋" w:hAnsi="仿宋" w:eastAsia="仿宋" w:cs="仿宋"/>
                <w:color w:val="000000"/>
                <w:sz w:val="20"/>
                <w:szCs w:val="20"/>
              </w:rPr>
            </w:pPr>
            <w:r>
              <w:rPr>
                <w:rFonts w:hint="eastAsia" w:ascii="仿宋" w:hAnsi="仿宋" w:eastAsia="仿宋" w:cs="仿宋"/>
                <w:color w:val="000000"/>
                <w:sz w:val="20"/>
                <w:szCs w:val="20"/>
              </w:rPr>
              <w:t>条</w:t>
            </w:r>
          </w:p>
        </w:tc>
        <w:tc>
          <w:tcPr>
            <w:tcW w:w="855" w:type="dxa"/>
            <w:tcBorders>
              <w:top w:val="single" w:color="auto" w:sz="4" w:space="0"/>
              <w:left w:val="outset" w:color="000000" w:sz="6" w:space="0"/>
              <w:bottom w:val="outset" w:color="000000" w:sz="6" w:space="0"/>
              <w:right w:val="outset" w:color="000000" w:sz="6" w:space="0"/>
            </w:tcBorders>
            <w:shd w:val="clear" w:color="auto" w:fill="FFFFFF"/>
            <w:vAlign w:val="center"/>
          </w:tcPr>
          <w:p>
            <w:pPr>
              <w:spacing w:line="420" w:lineRule="atLeast"/>
              <w:rPr>
                <w:rFonts w:ascii="仿宋" w:hAnsi="仿宋" w:eastAsia="仿宋" w:cs="仿宋"/>
                <w:color w:val="000000"/>
                <w:sz w:val="20"/>
                <w:szCs w:val="20"/>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sz w:val="20"/>
                <w:szCs w:val="20"/>
              </w:rPr>
              <w:t>八、机构建设和保障经费情况</w:t>
            </w:r>
          </w:p>
        </w:tc>
        <w:tc>
          <w:tcPr>
            <w:tcW w:w="1020" w:type="dxa"/>
            <w:tcBorders>
              <w:top w:val="outset" w:color="000000" w:sz="6" w:space="0"/>
              <w:left w:val="outset" w:color="000000" w:sz="6" w:space="0"/>
              <w:bottom w:val="outset" w:color="000000" w:sz="6" w:space="0"/>
              <w:right w:val="outset" w:color="000000" w:sz="6" w:space="0"/>
              <w:tr2bl w:val="single" w:color="auto" w:sz="4" w:space="0"/>
            </w:tcBorders>
            <w:shd w:val="clear" w:color="auto" w:fill="FFFFFF"/>
            <w:vAlign w:val="center"/>
          </w:tcPr>
          <w:p>
            <w:pPr>
              <w:spacing w:line="420" w:lineRule="atLeast"/>
              <w:jc w:val="center"/>
              <w:rPr>
                <w:rFonts w:ascii="仿宋" w:hAnsi="仿宋" w:eastAsia="仿宋" w:cs="仿宋"/>
                <w:color w:val="000000"/>
                <w:sz w:val="24"/>
              </w:rPr>
            </w:pP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sz w:val="20"/>
                <w:szCs w:val="20"/>
              </w:rPr>
              <w:t>　</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sz w:val="20"/>
                <w:szCs w:val="20"/>
              </w:rPr>
              <w:t>　　（一）政府信息公开工作专门机构数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仿宋" w:hAnsi="仿宋" w:eastAsia="仿宋" w:cs="仿宋"/>
                <w:color w:val="000000"/>
                <w:sz w:val="24"/>
              </w:rPr>
            </w:pPr>
            <w:r>
              <w:rPr>
                <w:rFonts w:hint="eastAsia" w:ascii="仿宋" w:hAnsi="仿宋" w:eastAsia="仿宋" w:cs="仿宋"/>
                <w:color w:val="000000"/>
                <w:sz w:val="20"/>
                <w:szCs w:val="20"/>
              </w:rPr>
              <w:t>个</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sz w:val="20"/>
                <w:szCs w:val="20"/>
              </w:rPr>
              <w:t>　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sz w:val="20"/>
                <w:szCs w:val="20"/>
              </w:rPr>
              <w:t>　　（二）设置政府信息公开查阅点数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仿宋" w:hAnsi="仿宋" w:eastAsia="仿宋" w:cs="仿宋"/>
                <w:color w:val="000000"/>
                <w:sz w:val="24"/>
              </w:rPr>
            </w:pPr>
            <w:r>
              <w:rPr>
                <w:rFonts w:hint="eastAsia" w:ascii="仿宋" w:hAnsi="仿宋" w:eastAsia="仿宋" w:cs="仿宋"/>
                <w:color w:val="000000"/>
                <w:sz w:val="20"/>
                <w:szCs w:val="20"/>
              </w:rPr>
              <w:t>个</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sz w:val="20"/>
                <w:szCs w:val="20"/>
              </w:rPr>
              <w:t>　</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sz w:val="20"/>
                <w:szCs w:val="20"/>
              </w:rPr>
              <w:t>　　（三）从事政府信息公开工作人员数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仿宋" w:hAnsi="仿宋" w:eastAsia="仿宋" w:cs="仿宋"/>
                <w:color w:val="000000"/>
                <w:sz w:val="24"/>
              </w:rPr>
            </w:pPr>
            <w:r>
              <w:rPr>
                <w:rFonts w:hint="eastAsia" w:ascii="仿宋" w:hAnsi="仿宋" w:eastAsia="仿宋" w:cs="仿宋"/>
                <w:color w:val="000000"/>
                <w:sz w:val="20"/>
                <w:szCs w:val="20"/>
              </w:rPr>
              <w:t>人</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sz w:val="20"/>
                <w:szCs w:val="20"/>
              </w:rPr>
              <w:t>　3</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sz w:val="20"/>
                <w:szCs w:val="20"/>
              </w:rPr>
              <w:t>　　　　　1.专职人员数（不包括政府公报及政府网站工作人员数）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仿宋" w:hAnsi="仿宋" w:eastAsia="仿宋" w:cs="仿宋"/>
                <w:color w:val="000000"/>
                <w:sz w:val="24"/>
              </w:rPr>
            </w:pPr>
            <w:r>
              <w:rPr>
                <w:rFonts w:hint="eastAsia" w:ascii="仿宋" w:hAnsi="仿宋" w:eastAsia="仿宋" w:cs="仿宋"/>
                <w:color w:val="000000"/>
                <w:sz w:val="20"/>
                <w:szCs w:val="20"/>
              </w:rPr>
              <w:t>人</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sz w:val="20"/>
                <w:szCs w:val="20"/>
              </w:rPr>
              <w:t>　</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sz w:val="20"/>
                <w:szCs w:val="20"/>
              </w:rPr>
              <w:t>　　　　　2.兼职人员数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仿宋" w:hAnsi="仿宋" w:eastAsia="仿宋" w:cs="仿宋"/>
                <w:color w:val="000000"/>
                <w:sz w:val="24"/>
              </w:rPr>
            </w:pPr>
            <w:r>
              <w:rPr>
                <w:rFonts w:hint="eastAsia" w:ascii="仿宋" w:hAnsi="仿宋" w:eastAsia="仿宋" w:cs="仿宋"/>
                <w:color w:val="000000"/>
                <w:sz w:val="20"/>
                <w:szCs w:val="20"/>
              </w:rPr>
              <w:t>人</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sz w:val="20"/>
                <w:szCs w:val="20"/>
              </w:rPr>
              <w:t>　3</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single" w:color="auto" w:sz="4"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sz w:val="20"/>
                <w:szCs w:val="20"/>
              </w:rPr>
              <w:t>　　（四）政府信息公开专项经费（不包括用于政府公报编辑管理及政府网站建设维</w:t>
            </w:r>
            <w:r>
              <w:rPr>
                <w:rFonts w:hint="eastAsia" w:ascii="仿宋" w:hAnsi="仿宋" w:eastAsia="仿宋" w:cs="仿宋"/>
                <w:color w:val="000000"/>
                <w:sz w:val="20"/>
                <w:szCs w:val="20"/>
              </w:rPr>
              <w:br w:type="textWrapping"/>
            </w:r>
            <w:r>
              <w:rPr>
                <w:rFonts w:hint="eastAsia" w:ascii="仿宋" w:hAnsi="仿宋" w:eastAsia="仿宋" w:cs="仿宋"/>
                <w:color w:val="000000"/>
                <w:sz w:val="20"/>
                <w:szCs w:val="20"/>
              </w:rPr>
              <w:t>　　　　　护等方面的经费）</w:t>
            </w:r>
          </w:p>
        </w:tc>
        <w:tc>
          <w:tcPr>
            <w:tcW w:w="1020" w:type="dxa"/>
            <w:tcBorders>
              <w:top w:val="outset" w:color="000000" w:sz="6"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仿宋" w:hAnsi="仿宋" w:eastAsia="仿宋" w:cs="仿宋"/>
                <w:color w:val="000000"/>
                <w:sz w:val="24"/>
              </w:rPr>
            </w:pPr>
            <w:r>
              <w:rPr>
                <w:rFonts w:hint="eastAsia" w:ascii="仿宋" w:hAnsi="仿宋" w:eastAsia="仿宋" w:cs="仿宋"/>
                <w:color w:val="000000"/>
                <w:sz w:val="20"/>
                <w:szCs w:val="20"/>
              </w:rPr>
              <w:t>万元</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sz w:val="20"/>
                <w:szCs w:val="20"/>
              </w:rPr>
              <w:t>　</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sz w:val="20"/>
                <w:szCs w:val="20"/>
              </w:rPr>
              <w:t>九、政府信息公开会议和培训情况</w:t>
            </w:r>
          </w:p>
        </w:tc>
        <w:tc>
          <w:tcPr>
            <w:tcW w:w="1020" w:type="dxa"/>
            <w:tcBorders>
              <w:top w:val="outset" w:color="000000" w:sz="6" w:space="0"/>
              <w:left w:val="outset" w:color="000000" w:sz="6" w:space="0"/>
              <w:bottom w:val="outset" w:color="000000" w:sz="6" w:space="0"/>
              <w:right w:val="outset" w:color="000000" w:sz="6" w:space="0"/>
              <w:tr2bl w:val="single" w:color="auto" w:sz="4" w:space="0"/>
            </w:tcBorders>
            <w:shd w:val="clear" w:color="auto" w:fill="FFFFFF"/>
            <w:vAlign w:val="center"/>
          </w:tcPr>
          <w:p>
            <w:pPr>
              <w:spacing w:line="420" w:lineRule="atLeast"/>
              <w:jc w:val="center"/>
              <w:rPr>
                <w:rFonts w:ascii="仿宋" w:hAnsi="仿宋" w:eastAsia="仿宋" w:cs="仿宋"/>
                <w:color w:val="000000"/>
                <w:sz w:val="24"/>
              </w:rPr>
            </w:pP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sz w:val="20"/>
                <w:szCs w:val="20"/>
              </w:rPr>
              <w:t>　</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sz w:val="20"/>
                <w:szCs w:val="20"/>
              </w:rPr>
              <w:t>　　（一）召开政府信息公开工作会议或专题会议数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仿宋" w:hAnsi="仿宋" w:eastAsia="仿宋" w:cs="仿宋"/>
                <w:color w:val="000000"/>
                <w:sz w:val="24"/>
              </w:rPr>
            </w:pPr>
            <w:r>
              <w:rPr>
                <w:rFonts w:hint="eastAsia" w:ascii="仿宋" w:hAnsi="仿宋" w:eastAsia="仿宋" w:cs="仿宋"/>
                <w:color w:val="000000"/>
                <w:sz w:val="20"/>
                <w:szCs w:val="20"/>
              </w:rPr>
              <w:t>次</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sz w:val="20"/>
                <w:szCs w:val="20"/>
              </w:rPr>
              <w:t>　3</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sz w:val="20"/>
                <w:szCs w:val="20"/>
              </w:rPr>
              <w:t>　　（二）举办各类培训班数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仿宋" w:hAnsi="仿宋" w:eastAsia="仿宋" w:cs="仿宋"/>
                <w:color w:val="000000"/>
                <w:sz w:val="24"/>
              </w:rPr>
            </w:pPr>
            <w:r>
              <w:rPr>
                <w:rFonts w:hint="eastAsia" w:ascii="仿宋" w:hAnsi="仿宋" w:eastAsia="仿宋" w:cs="仿宋"/>
                <w:color w:val="000000"/>
                <w:sz w:val="20"/>
                <w:szCs w:val="20"/>
              </w:rPr>
              <w:t>次</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sz w:val="20"/>
                <w:szCs w:val="20"/>
              </w:rPr>
              <w:t>　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sz w:val="20"/>
                <w:szCs w:val="20"/>
              </w:rPr>
              <w:t>　　（三）接受培训人员数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仿宋" w:hAnsi="仿宋" w:eastAsia="仿宋" w:cs="仿宋"/>
                <w:color w:val="000000"/>
                <w:sz w:val="24"/>
              </w:rPr>
            </w:pPr>
            <w:r>
              <w:rPr>
                <w:rFonts w:hint="eastAsia" w:ascii="仿宋" w:hAnsi="仿宋" w:eastAsia="仿宋" w:cs="仿宋"/>
                <w:color w:val="000000"/>
                <w:sz w:val="20"/>
                <w:szCs w:val="20"/>
              </w:rPr>
              <w:t>人次</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仿宋" w:hAnsi="仿宋" w:eastAsia="仿宋" w:cs="仿宋"/>
                <w:color w:val="000000"/>
                <w:sz w:val="24"/>
              </w:rPr>
            </w:pPr>
            <w:r>
              <w:rPr>
                <w:rFonts w:hint="eastAsia" w:ascii="仿宋" w:hAnsi="仿宋" w:eastAsia="仿宋" w:cs="仿宋"/>
                <w:color w:val="000000"/>
              </w:rPr>
              <w:t>　73</w:t>
            </w:r>
          </w:p>
        </w:tc>
      </w:tr>
    </w:tbl>
    <w:p>
      <w:pPr>
        <w:rPr>
          <w:rFonts w:ascii="仿宋" w:hAnsi="仿宋" w:eastAsia="仿宋" w:cs="仿宋"/>
          <w:color w:val="000000"/>
          <w:sz w:val="24"/>
        </w:rPr>
      </w:pPr>
      <w:r>
        <w:rPr>
          <w:rFonts w:hint="eastAsia" w:ascii="仿宋" w:hAnsi="仿宋" w:eastAsia="仿宋" w:cs="仿宋"/>
          <w:color w:val="000000"/>
          <w:sz w:val="24"/>
        </w:rPr>
        <w:t>（注：各子栏目数总数要等于总栏目数量）</w:t>
      </w:r>
    </w:p>
    <w:p>
      <w:pPr>
        <w:rPr>
          <w:rFonts w:ascii="黑体" w:hAnsi="宋体" w:eastAsia="黑体"/>
          <w:sz w:val="24"/>
        </w:rPr>
      </w:pPr>
    </w:p>
    <w:p/>
    <w:p>
      <w:pPr>
        <w:ind w:firstLine="640" w:firstLineChars="200"/>
        <w:rPr>
          <w:rFonts w:ascii="仿宋_GB2312" w:hAnsi="华文中宋" w:eastAsia="仿宋_GB2312"/>
          <w:sz w:val="32"/>
          <w:szCs w:val="32"/>
        </w:rPr>
      </w:pPr>
    </w:p>
    <w:sectPr>
      <w:footerReference r:id="rId3" w:type="default"/>
      <w:footerReference r:id="rId4" w:type="even"/>
      <w:pgSz w:w="11906" w:h="16838"/>
      <w:pgMar w:top="1417" w:right="1474" w:bottom="1417" w:left="1474" w:header="851" w:footer="992" w:gutter="0"/>
      <w:pgNumType w:fmt="numberInDash"/>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等线">
    <w:altName w:val="宋体"/>
    <w:panose1 w:val="00000000000000000000"/>
    <w:charset w:val="86"/>
    <w:family w:val="auto"/>
    <w:pitch w:val="default"/>
    <w:sig w:usb0="00000000" w:usb1="00000000" w:usb2="00000016" w:usb3="00000000" w:csb0="0004000F" w:csb1="00000000"/>
  </w:font>
  <w:font w:name="Courier New">
    <w:panose1 w:val="02070309020205020404"/>
    <w:charset w:val="00"/>
    <w:family w:val="modern"/>
    <w:pitch w:val="default"/>
    <w:sig w:usb0="E0002AFF" w:usb1="C0007843" w:usb2="00000009" w:usb3="00000000" w:csb0="400001FF" w:csb1="FFFF0000"/>
  </w:font>
  <w:font w:name="方正小标宋简体">
    <w:altName w:val="微软雅黑"/>
    <w:panose1 w:val="02010601030101010101"/>
    <w:charset w:val="86"/>
    <w:family w:val="auto"/>
    <w:pitch w:val="default"/>
    <w:sig w:usb0="00000000" w:usb1="00000000" w:usb2="00000010" w:usb3="00000000" w:csb0="00040000" w:csb1="00000000"/>
  </w:font>
  <w:font w:name="文星简小标宋">
    <w:altName w:val="宋体"/>
    <w:panose1 w:val="02010609000101010101"/>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A00002EF" w:usb1="4000207B" w:usb2="00000000" w:usb3="00000000" w:csb0="2000019F" w:csb1="00000000"/>
  </w:font>
  <w:font w:name="微软雅黑">
    <w:panose1 w:val="020B0503020204020204"/>
    <w:charset w:val="86"/>
    <w:family w:val="auto"/>
    <w:pitch w:val="default"/>
    <w:sig w:usb0="80000287" w:usb1="28C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outside" w:y="1"/>
      <w:rPr>
        <w:rStyle w:val="8"/>
        <w:rFonts w:asciiTheme="minorEastAsia" w:hAnsiTheme="minorEastAsia" w:eastAsiaTheme="minorEastAsia" w:cstheme="minorEastAsia"/>
        <w:sz w:val="28"/>
        <w:szCs w:val="28"/>
      </w:rPr>
    </w:pPr>
    <w:r>
      <w:rPr>
        <w:rStyle w:val="8"/>
        <w:rFonts w:hint="eastAsia" w:asciiTheme="minorEastAsia" w:hAnsiTheme="minorEastAsia" w:eastAsiaTheme="minorEastAsia" w:cstheme="minorEastAsia"/>
        <w:sz w:val="28"/>
        <w:szCs w:val="28"/>
      </w:rPr>
      <w:fldChar w:fldCharType="begin"/>
    </w:r>
    <w:r>
      <w:rPr>
        <w:rStyle w:val="8"/>
        <w:rFonts w:hint="eastAsia" w:asciiTheme="minorEastAsia" w:hAnsiTheme="minorEastAsia" w:eastAsiaTheme="minorEastAsia" w:cstheme="minorEastAsia"/>
        <w:sz w:val="28"/>
        <w:szCs w:val="28"/>
      </w:rPr>
      <w:instrText xml:space="preserve">PAGE  </w:instrText>
    </w:r>
    <w:r>
      <w:rPr>
        <w:rStyle w:val="8"/>
        <w:rFonts w:hint="eastAsia" w:asciiTheme="minorEastAsia" w:hAnsiTheme="minorEastAsia" w:eastAsiaTheme="minorEastAsia" w:cstheme="minorEastAsia"/>
        <w:sz w:val="28"/>
        <w:szCs w:val="28"/>
      </w:rPr>
      <w:fldChar w:fldCharType="separate"/>
    </w:r>
    <w:r>
      <w:rPr>
        <w:rStyle w:val="8"/>
        <w:rFonts w:asciiTheme="minorEastAsia" w:hAnsiTheme="minorEastAsia" w:eastAsiaTheme="minorEastAsia" w:cstheme="minorEastAsia"/>
        <w:sz w:val="28"/>
        <w:szCs w:val="28"/>
      </w:rPr>
      <w:t>- 22 -</w:t>
    </w:r>
    <w:r>
      <w:rPr>
        <w:rStyle w:val="8"/>
        <w:rFonts w:hint="eastAsia" w:asciiTheme="minorEastAsia" w:hAnsiTheme="minorEastAsia" w:eastAsiaTheme="minorEastAsia" w:cstheme="minorEastAsia"/>
        <w:sz w:val="28"/>
        <w:szCs w:val="28"/>
      </w:rPr>
      <w:fldChar w:fldCharType="end"/>
    </w:r>
  </w:p>
  <w:p>
    <w:pPr>
      <w:pStyle w:val="3"/>
      <w:ind w:right="360" w:firstLine="360"/>
      <w:rPr>
        <w:rFonts w:asciiTheme="minorEastAsia" w:hAnsiTheme="minorEastAsia" w:eastAsiaTheme="minorEastAsia" w:cstheme="minorEastAsia"/>
        <w:sz w:val="28"/>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outside" w:y="1"/>
      <w:rPr>
        <w:rStyle w:val="8"/>
      </w:rPr>
    </w:pPr>
    <w:r>
      <w:rPr>
        <w:rStyle w:val="8"/>
      </w:rPr>
      <w:fldChar w:fldCharType="begin"/>
    </w:r>
    <w:r>
      <w:rPr>
        <w:rStyle w:val="8"/>
      </w:rPr>
      <w:instrText xml:space="preserve">PAGE  </w:instrText>
    </w:r>
    <w:r>
      <w:rPr>
        <w:rStyle w:val="8"/>
      </w:rPr>
      <w:fldChar w:fldCharType="end"/>
    </w:r>
  </w:p>
  <w:p>
    <w:pPr>
      <w:pStyle w:val="3"/>
      <w:ind w:right="360" w:firstLine="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66A0"/>
    <w:rsid w:val="000151F9"/>
    <w:rsid w:val="00016899"/>
    <w:rsid w:val="000220CD"/>
    <w:rsid w:val="000C36C7"/>
    <w:rsid w:val="000E4B93"/>
    <w:rsid w:val="001513F3"/>
    <w:rsid w:val="0017052E"/>
    <w:rsid w:val="00172B2E"/>
    <w:rsid w:val="00173199"/>
    <w:rsid w:val="001A468C"/>
    <w:rsid w:val="002B4E99"/>
    <w:rsid w:val="002F2072"/>
    <w:rsid w:val="00347868"/>
    <w:rsid w:val="0038214C"/>
    <w:rsid w:val="003B02CC"/>
    <w:rsid w:val="003B71F1"/>
    <w:rsid w:val="003C1CB2"/>
    <w:rsid w:val="0043696E"/>
    <w:rsid w:val="004641F9"/>
    <w:rsid w:val="00467170"/>
    <w:rsid w:val="004C32F6"/>
    <w:rsid w:val="0050334A"/>
    <w:rsid w:val="005971B5"/>
    <w:rsid w:val="005D3083"/>
    <w:rsid w:val="00603A29"/>
    <w:rsid w:val="00672752"/>
    <w:rsid w:val="006A789E"/>
    <w:rsid w:val="006D659E"/>
    <w:rsid w:val="006F77AB"/>
    <w:rsid w:val="0070384E"/>
    <w:rsid w:val="00746D28"/>
    <w:rsid w:val="00757603"/>
    <w:rsid w:val="007A1FE2"/>
    <w:rsid w:val="007C0BE7"/>
    <w:rsid w:val="007F6ACB"/>
    <w:rsid w:val="008420B4"/>
    <w:rsid w:val="00850426"/>
    <w:rsid w:val="008A2A41"/>
    <w:rsid w:val="008E44A8"/>
    <w:rsid w:val="008E5595"/>
    <w:rsid w:val="00916706"/>
    <w:rsid w:val="00954C69"/>
    <w:rsid w:val="00980CCE"/>
    <w:rsid w:val="009B79AD"/>
    <w:rsid w:val="009D630F"/>
    <w:rsid w:val="009E66A0"/>
    <w:rsid w:val="00A068FA"/>
    <w:rsid w:val="00AD4260"/>
    <w:rsid w:val="00AD4EBF"/>
    <w:rsid w:val="00AF624D"/>
    <w:rsid w:val="00B13122"/>
    <w:rsid w:val="00B254C3"/>
    <w:rsid w:val="00B42EF1"/>
    <w:rsid w:val="00BC1935"/>
    <w:rsid w:val="00BD2B90"/>
    <w:rsid w:val="00BF6CE3"/>
    <w:rsid w:val="00CF0FCC"/>
    <w:rsid w:val="00D241BB"/>
    <w:rsid w:val="00D27174"/>
    <w:rsid w:val="00D63D46"/>
    <w:rsid w:val="00D864DC"/>
    <w:rsid w:val="00DA6073"/>
    <w:rsid w:val="00DE6CC8"/>
    <w:rsid w:val="00DF10CA"/>
    <w:rsid w:val="00E343C1"/>
    <w:rsid w:val="00E41C7E"/>
    <w:rsid w:val="00EA30C5"/>
    <w:rsid w:val="00FB72BB"/>
    <w:rsid w:val="0A650B49"/>
    <w:rsid w:val="19566C5D"/>
    <w:rsid w:val="2F586E53"/>
    <w:rsid w:val="309E18E6"/>
    <w:rsid w:val="39183F5F"/>
    <w:rsid w:val="4D935EFF"/>
    <w:rsid w:val="518E6D5C"/>
    <w:rsid w:val="5B7E2013"/>
    <w:rsid w:val="5B820A19"/>
    <w:rsid w:val="5C0B0F95"/>
    <w:rsid w:val="6A274B17"/>
    <w:rsid w:val="75944C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unhideWhenUsed/>
    <w:uiPriority w:val="1"/>
  </w:style>
  <w:style w:type="table" w:default="1" w:styleId="10">
    <w:name w:val="Normal Table"/>
    <w:unhideWhenUsed/>
    <w:qFormat/>
    <w:uiPriority w:val="99"/>
    <w:tblPr>
      <w:tblLayout w:type="fixed"/>
      <w:tblCellMar>
        <w:top w:w="0" w:type="dxa"/>
        <w:left w:w="108" w:type="dxa"/>
        <w:bottom w:w="0" w:type="dxa"/>
        <w:right w:w="108" w:type="dxa"/>
      </w:tblCellMar>
    </w:tblPr>
  </w:style>
  <w:style w:type="paragraph" w:styleId="2">
    <w:name w:val="Plain Text"/>
    <w:basedOn w:val="1"/>
    <w:link w:val="11"/>
    <w:qFormat/>
    <w:uiPriority w:val="0"/>
    <w:rPr>
      <w:rFonts w:ascii="宋体" w:hAnsi="Courier New" w:eastAsia="等线" w:cs="Courier New"/>
      <w:szCs w:val="21"/>
    </w:rPr>
  </w:style>
  <w:style w:type="paragraph" w:styleId="3">
    <w:name w:val="footer"/>
    <w:basedOn w:val="1"/>
    <w:qFormat/>
    <w:uiPriority w:val="0"/>
    <w:pPr>
      <w:tabs>
        <w:tab w:val="center" w:pos="4153"/>
        <w:tab w:val="right" w:pos="8306"/>
      </w:tabs>
      <w:snapToGrid w:val="0"/>
      <w:jc w:val="left"/>
    </w:pPr>
    <w:rPr>
      <w:sz w:val="18"/>
      <w:szCs w:val="18"/>
    </w:rPr>
  </w:style>
  <w:style w:type="paragraph" w:styleId="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pPr>
      <w:widowControl/>
      <w:spacing w:before="100" w:beforeAutospacing="1" w:after="100" w:afterAutospacing="1"/>
      <w:jc w:val="left"/>
    </w:pPr>
    <w:rPr>
      <w:rFonts w:ascii="宋体" w:hAnsi="宋体" w:cs="宋体"/>
      <w:kern w:val="0"/>
      <w:sz w:val="24"/>
    </w:rPr>
  </w:style>
  <w:style w:type="character" w:styleId="7">
    <w:name w:val="Strong"/>
    <w:basedOn w:val="6"/>
    <w:qFormat/>
    <w:uiPriority w:val="0"/>
    <w:rPr>
      <w:b/>
      <w:bCs/>
    </w:rPr>
  </w:style>
  <w:style w:type="character" w:styleId="8">
    <w:name w:val="page number"/>
    <w:basedOn w:val="6"/>
    <w:qFormat/>
    <w:uiPriority w:val="0"/>
  </w:style>
  <w:style w:type="character" w:styleId="9">
    <w:name w:val="Hyperlink"/>
    <w:basedOn w:val="6"/>
    <w:qFormat/>
    <w:uiPriority w:val="0"/>
    <w:rPr>
      <w:color w:val="0563C1" w:themeColor="hyperlink"/>
      <w:u w:val="single"/>
      <w14:textFill>
        <w14:solidFill>
          <w14:schemeClr w14:val="hlink"/>
        </w14:solidFill>
      </w14:textFill>
    </w:rPr>
  </w:style>
  <w:style w:type="character" w:customStyle="1" w:styleId="11">
    <w:name w:val="纯文本 Char"/>
    <w:basedOn w:val="6"/>
    <w:link w:val="2"/>
    <w:qFormat/>
    <w:uiPriority w:val="0"/>
    <w:rPr>
      <w:rFonts w:ascii="宋体" w:hAnsi="Courier New" w:eastAsia="等线" w:cs="Courier New"/>
      <w:kern w:val="2"/>
      <w:sz w:val="21"/>
      <w:szCs w:val="21"/>
    </w:rPr>
  </w:style>
  <w:style w:type="paragraph" w:customStyle="1" w:styleId="12">
    <w:name w:val="默认段落字体 Para Char"/>
    <w:basedOn w:val="1"/>
    <w:qFormat/>
    <w:uiPriority w:val="0"/>
    <w:pPr>
      <w:widowControl/>
      <w:overflowPunct w:val="0"/>
      <w:autoSpaceDE w:val="0"/>
      <w:autoSpaceDN w:val="0"/>
      <w:adjustRightInd w:val="0"/>
      <w:spacing w:line="360" w:lineRule="auto"/>
      <w:textAlignment w:val="baseline"/>
    </w:pPr>
    <w:rPr>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customXml" Target="../customXml/item1.xml"/><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EF5A5C1-318D-4DF4-9D05-76B8A01D6987}">
  <ds:schemaRefs/>
</ds:datastoreItem>
</file>

<file path=docProps/app.xml><?xml version="1.0" encoding="utf-8"?>
<Properties xmlns="http://schemas.openxmlformats.org/officeDocument/2006/extended-properties" xmlns:vt="http://schemas.openxmlformats.org/officeDocument/2006/docPropsVTypes">
  <Template>Normal.dotm</Template>
  <Pages>24</Pages>
  <Words>1329</Words>
  <Characters>7576</Characters>
  <Lines>63</Lines>
  <Paragraphs>17</Paragraphs>
  <TotalTime>0</TotalTime>
  <ScaleCrop>false</ScaleCrop>
  <LinksUpToDate>false</LinksUpToDate>
  <CharactersWithSpaces>8888</CharactersWithSpaces>
  <Application>WPS Office_10.1.0.6929_F1E327BC-269C-435d-A152-05C5408002CA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2018-01-24T02:00:00Z</dcterms:created>
  <dc:creator>Admin</dc:creator>
  <cp:lastModifiedBy>lid</cp:lastModifiedBy>
  <cp:lastPrinted>2411-12-31T15:59:00Z</cp:lastPrinted>
  <dcterms:modified xsi:type="dcterms:W3CDTF">2018-03-28T02:14:14Z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